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8614B" w14:textId="77777777" w:rsidR="008B1B26" w:rsidRDefault="00D85596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bookmarkStart w:id="0" w:name="_GoBack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DATA QUALITY Statement </w:t>
      </w:r>
    </w:p>
    <w:p w14:paraId="00F93B5D" w14:textId="77777777" w:rsidR="008B1B26" w:rsidRPr="00D85596" w:rsidRDefault="008B1B26" w:rsidP="00D85596">
      <w:pPr>
        <w:pStyle w:val="BodyCopy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74670C57" w14:textId="378E2749" w:rsidR="00D85596" w:rsidRPr="00D85596" w:rsidRDefault="00D85596" w:rsidP="00D85596">
      <w:pPr>
        <w:pStyle w:val="BodyCopy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D85596">
        <w:rPr>
          <w:rFonts w:ascii="Arial" w:hAnsi="Arial" w:cs="Arial"/>
          <w:color w:val="auto"/>
          <w:sz w:val="22"/>
          <w:szCs w:val="22"/>
          <w:shd w:val="clear" w:color="auto" w:fill="FFFFFF"/>
        </w:rPr>
        <w:t>The Workplace Gender Equality Agency (Agency</w:t>
      </w:r>
      <w:r w:rsidR="00F95E7F">
        <w:rPr>
          <w:rFonts w:ascii="Arial" w:hAnsi="Arial" w:cs="Arial"/>
          <w:color w:val="auto"/>
          <w:sz w:val="22"/>
          <w:szCs w:val="22"/>
          <w:shd w:val="clear" w:color="auto" w:fill="FFFFFF"/>
        </w:rPr>
        <w:t>)</w:t>
      </w:r>
      <w:r w:rsidR="008B1B26" w:rsidRPr="00D855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is</w:t>
      </w:r>
      <w:r w:rsidRPr="00D855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committed to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the</w:t>
      </w:r>
      <w:r w:rsidRPr="00D855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highest possible data quality to ensure the appropriate use for its intended purpose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under the</w:t>
      </w:r>
      <w:r w:rsidRPr="00D85596">
        <w:rPr>
          <w:rFonts w:ascii="Arial" w:hAnsi="Arial" w:cs="Arial"/>
          <w:i/>
          <w:color w:val="333333"/>
        </w:rPr>
        <w:t xml:space="preserve"> </w:t>
      </w:r>
      <w:r w:rsidRPr="00D85596">
        <w:rPr>
          <w:rFonts w:ascii="Arial" w:hAnsi="Arial" w:cs="Arial"/>
          <w:i/>
          <w:color w:val="333333"/>
          <w:sz w:val="22"/>
          <w:szCs w:val="22"/>
        </w:rPr>
        <w:t>Workplace Gender Equality Act 2012 (Act</w:t>
      </w:r>
      <w:r w:rsidRPr="00D85596">
        <w:rPr>
          <w:rFonts w:ascii="Arial" w:hAnsi="Arial" w:cs="Arial"/>
          <w:color w:val="333333"/>
          <w:sz w:val="22"/>
          <w:szCs w:val="22"/>
        </w:rPr>
        <w:t>)</w:t>
      </w:r>
      <w:r w:rsidRPr="00D8559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. </w:t>
      </w:r>
    </w:p>
    <w:p w14:paraId="3051503B" w14:textId="77777777" w:rsidR="008B1B26" w:rsidRPr="00D85596" w:rsidRDefault="00D85596" w:rsidP="00D85596">
      <w:pPr>
        <w:pStyle w:val="BodyCopy"/>
        <w:rPr>
          <w:rFonts w:ascii="Arial" w:hAnsi="Arial" w:cs="Arial"/>
          <w:color w:val="auto"/>
          <w:sz w:val="22"/>
          <w:szCs w:val="22"/>
        </w:rPr>
      </w:pPr>
      <w:r w:rsidRPr="00D85596">
        <w:rPr>
          <w:rFonts w:ascii="Arial" w:eastAsia="+mn-ea" w:hAnsi="Arial" w:cs="Arial"/>
          <w:color w:val="auto"/>
          <w:kern w:val="24"/>
          <w:sz w:val="22"/>
          <w:szCs w:val="22"/>
          <w:lang w:val="en-US"/>
        </w:rPr>
        <w:t>Data Governance is a key driver of the Agency’s</w:t>
      </w:r>
      <w:r w:rsidR="008B1B26" w:rsidRPr="00D85596">
        <w:rPr>
          <w:rFonts w:ascii="Arial" w:eastAsia="+mn-ea" w:hAnsi="Arial" w:cs="Arial"/>
          <w:color w:val="auto"/>
          <w:kern w:val="24"/>
          <w:sz w:val="22"/>
          <w:szCs w:val="22"/>
          <w:lang w:val="en-US"/>
        </w:rPr>
        <w:t xml:space="preserve"> approach to data management. The Data</w:t>
      </w:r>
      <w:r w:rsidRPr="00D85596">
        <w:rPr>
          <w:rFonts w:ascii="Arial" w:eastAsia="+mn-ea" w:hAnsi="Arial" w:cs="Arial"/>
          <w:color w:val="auto"/>
          <w:kern w:val="24"/>
          <w:sz w:val="22"/>
          <w:szCs w:val="22"/>
          <w:lang w:val="en-US"/>
        </w:rPr>
        <w:t xml:space="preserve"> Governance Committee (DGC)</w:t>
      </w:r>
      <w:r w:rsidR="008B1B26" w:rsidRPr="00D85596">
        <w:rPr>
          <w:rFonts w:ascii="Arial" w:eastAsia="+mn-ea" w:hAnsi="Arial" w:cs="Arial"/>
          <w:color w:val="auto"/>
          <w:kern w:val="24"/>
          <w:sz w:val="22"/>
          <w:szCs w:val="22"/>
          <w:lang w:val="en-US"/>
        </w:rPr>
        <w:t xml:space="preserve"> oversee</w:t>
      </w:r>
      <w:r w:rsidRPr="00D85596">
        <w:rPr>
          <w:rFonts w:ascii="Arial" w:eastAsia="+mn-ea" w:hAnsi="Arial" w:cs="Arial"/>
          <w:color w:val="auto"/>
          <w:kern w:val="24"/>
          <w:sz w:val="22"/>
          <w:szCs w:val="22"/>
          <w:lang w:val="en-US"/>
        </w:rPr>
        <w:t>s</w:t>
      </w:r>
      <w:r w:rsidR="008B1B26" w:rsidRPr="00D85596">
        <w:rPr>
          <w:rFonts w:ascii="Arial" w:eastAsia="+mn-ea" w:hAnsi="Arial" w:cs="Arial"/>
          <w:color w:val="auto"/>
          <w:kern w:val="24"/>
          <w:sz w:val="22"/>
          <w:szCs w:val="22"/>
          <w:lang w:val="en-US"/>
        </w:rPr>
        <w:t xml:space="preserve"> the people, processes and information technology required to create consistent and appropriate handling of data and understanding of information across the Agency. </w:t>
      </w:r>
    </w:p>
    <w:p w14:paraId="3A7FB8BB" w14:textId="77777777" w:rsidR="008C5AE4" w:rsidRDefault="008C5AE4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14:paraId="50DEBAD8" w14:textId="77777777" w:rsidR="008C5AE4" w:rsidRDefault="001375AF" w:rsidP="008C5AE4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INSTITUTIONAL ENVIRONMENT</w:t>
      </w:r>
    </w:p>
    <w:p w14:paraId="0BB2D34D" w14:textId="70B9A638" w:rsidR="00DB275E" w:rsidRDefault="00DB275E" w:rsidP="008C5AE4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Workplace Gender Equality Agency (Agency)</w:t>
      </w:r>
      <w:r w:rsidRPr="00DB275E">
        <w:rPr>
          <w:rFonts w:ascii="Arial" w:hAnsi="Arial" w:cs="Arial"/>
          <w:color w:val="333333"/>
        </w:rPr>
        <w:t xml:space="preserve"> is an Australian Government statutory authority</w:t>
      </w:r>
      <w:r w:rsidR="00984410">
        <w:rPr>
          <w:rFonts w:ascii="Arial" w:hAnsi="Arial" w:cs="Arial"/>
          <w:color w:val="333333"/>
        </w:rPr>
        <w:t xml:space="preserve"> that promotes gender equality in the workplace</w:t>
      </w:r>
      <w:r w:rsidR="005F2F8D">
        <w:rPr>
          <w:rFonts w:ascii="Arial" w:hAnsi="Arial" w:cs="Arial"/>
          <w:color w:val="333333"/>
        </w:rPr>
        <w:t xml:space="preserve"> through research, analysis, and educational programs</w:t>
      </w:r>
      <w:r w:rsidR="00F95E7F">
        <w:rPr>
          <w:rFonts w:ascii="Arial" w:hAnsi="Arial" w:cs="Arial"/>
          <w:color w:val="333333"/>
        </w:rPr>
        <w:t xml:space="preserve">. </w:t>
      </w:r>
      <w:r w:rsidR="00984410">
        <w:rPr>
          <w:rFonts w:ascii="Arial" w:hAnsi="Arial" w:cs="Arial"/>
          <w:color w:val="333333"/>
        </w:rPr>
        <w:t xml:space="preserve">The Agency was established by </w:t>
      </w:r>
      <w:r w:rsidR="00F15B21">
        <w:rPr>
          <w:rFonts w:ascii="Arial" w:hAnsi="Arial" w:cs="Arial"/>
          <w:color w:val="333333"/>
        </w:rPr>
        <w:t xml:space="preserve">the </w:t>
      </w:r>
      <w:r w:rsidRPr="002C49B3">
        <w:rPr>
          <w:rFonts w:ascii="Arial" w:hAnsi="Arial" w:cs="Arial"/>
          <w:i/>
          <w:color w:val="333333"/>
        </w:rPr>
        <w:t>Workplace Gender Equality Act 2012 (Act</w:t>
      </w:r>
      <w:r w:rsidRPr="00DB275E">
        <w:rPr>
          <w:rFonts w:ascii="Arial" w:hAnsi="Arial" w:cs="Arial"/>
          <w:color w:val="333333"/>
        </w:rPr>
        <w:t>)</w:t>
      </w:r>
      <w:r w:rsidR="00984410">
        <w:rPr>
          <w:rFonts w:ascii="Arial" w:hAnsi="Arial" w:cs="Arial"/>
          <w:color w:val="333333"/>
        </w:rPr>
        <w:t xml:space="preserve">. </w:t>
      </w:r>
      <w:r w:rsidR="001E2A0F">
        <w:rPr>
          <w:rFonts w:ascii="Arial" w:hAnsi="Arial" w:cs="Arial"/>
          <w:color w:val="333333"/>
        </w:rPr>
        <w:t xml:space="preserve">The Agency is responsible for collecting data </w:t>
      </w:r>
      <w:r w:rsidR="007266C1">
        <w:rPr>
          <w:rFonts w:ascii="Arial" w:hAnsi="Arial" w:cs="Arial"/>
          <w:color w:val="333333"/>
        </w:rPr>
        <w:t>related to</w:t>
      </w:r>
      <w:r w:rsidR="002C49B3">
        <w:rPr>
          <w:rFonts w:ascii="Arial" w:hAnsi="Arial" w:cs="Arial"/>
          <w:color w:val="333333"/>
        </w:rPr>
        <w:t xml:space="preserve"> the</w:t>
      </w:r>
      <w:r w:rsidR="001E2A0F">
        <w:rPr>
          <w:rFonts w:ascii="Arial" w:hAnsi="Arial" w:cs="Arial"/>
          <w:color w:val="333333"/>
        </w:rPr>
        <w:t xml:space="preserve"> gender equality indicators as specified by the Act and the Minister through a legislative instrument, </w:t>
      </w:r>
      <w:r w:rsidR="001E2A0F" w:rsidRPr="002C49B3">
        <w:rPr>
          <w:rFonts w:ascii="Arial" w:hAnsi="Arial" w:cs="Arial"/>
          <w:i/>
          <w:color w:val="333333"/>
        </w:rPr>
        <w:t>Workplace Gender Equality (Matters in relation to Gender Equality Indicators) Instrument 2013 (No. 1).</w:t>
      </w:r>
      <w:r w:rsidR="001E2A0F">
        <w:rPr>
          <w:rFonts w:ascii="Arial" w:hAnsi="Arial" w:cs="Arial"/>
          <w:color w:val="333333"/>
        </w:rPr>
        <w:t xml:space="preserve"> </w:t>
      </w:r>
      <w:r w:rsidR="002C49B3">
        <w:rPr>
          <w:rFonts w:ascii="Arial" w:hAnsi="Arial" w:cs="Arial"/>
          <w:color w:val="333333"/>
        </w:rPr>
        <w:t xml:space="preserve"> </w:t>
      </w:r>
    </w:p>
    <w:p w14:paraId="6660FADA" w14:textId="09B47AC0" w:rsidR="005A0369" w:rsidRPr="00F95E7F" w:rsidRDefault="00F95E7F" w:rsidP="008C5AE4">
      <w:pPr>
        <w:pStyle w:val="BodyCopy"/>
        <w:contextualSpacing/>
        <w:rPr>
          <w:rFonts w:ascii="Arial" w:hAnsi="Arial" w:cs="Arial"/>
          <w:b/>
          <w:sz w:val="22"/>
          <w:szCs w:val="22"/>
        </w:rPr>
      </w:pPr>
      <w:r w:rsidRPr="00F95E7F">
        <w:rPr>
          <w:rFonts w:ascii="Arial" w:hAnsi="Arial" w:cs="Arial"/>
          <w:b/>
          <w:sz w:val="22"/>
          <w:szCs w:val="22"/>
        </w:rPr>
        <w:t xml:space="preserve">REMUNERATION DATA </w:t>
      </w:r>
    </w:p>
    <w:p w14:paraId="31845AC8" w14:textId="77777777" w:rsidR="005A0369" w:rsidRDefault="005A0369" w:rsidP="008C5AE4">
      <w:pPr>
        <w:pStyle w:val="BodyCopy"/>
        <w:contextualSpacing/>
        <w:rPr>
          <w:rFonts w:ascii="Arial" w:hAnsi="Arial" w:cs="Arial"/>
          <w:sz w:val="22"/>
          <w:szCs w:val="22"/>
        </w:rPr>
      </w:pPr>
    </w:p>
    <w:p w14:paraId="3D9B7F7A" w14:textId="77777777" w:rsidR="00FD7726" w:rsidRPr="00FD7726" w:rsidRDefault="00A104FF" w:rsidP="008C5AE4">
      <w:pPr>
        <w:pStyle w:val="BodyCopy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>Under the Act</w:t>
      </w:r>
      <w:r w:rsidR="009F70CC" w:rsidRPr="00FD7726">
        <w:rPr>
          <w:rFonts w:ascii="Arial" w:hAnsi="Arial" w:cs="Arial"/>
          <w:sz w:val="22"/>
          <w:szCs w:val="22"/>
        </w:rPr>
        <w:t xml:space="preserve">, the Agency must </w:t>
      </w:r>
      <w:r w:rsidR="009F70CC" w:rsidRPr="00FD7726">
        <w:rPr>
          <w:rFonts w:ascii="Arial" w:hAnsi="Arial" w:cs="Arial"/>
          <w:iCs/>
          <w:sz w:val="22"/>
          <w:szCs w:val="22"/>
        </w:rPr>
        <w:t>ensure that all remuneration data provided to the WGEA is kept strictly confidential</w:t>
      </w:r>
      <w:r w:rsidR="009F70CC" w:rsidRPr="00FD7726">
        <w:rPr>
          <w:rFonts w:ascii="Arial" w:hAnsi="Arial" w:cs="Arial"/>
          <w:sz w:val="22"/>
          <w:szCs w:val="22"/>
        </w:rPr>
        <w:t>. The</w:t>
      </w:r>
      <w:r w:rsidRPr="00FD7726">
        <w:rPr>
          <w:rFonts w:ascii="Arial" w:hAnsi="Arial" w:cs="Arial"/>
          <w:sz w:val="22"/>
          <w:szCs w:val="22"/>
        </w:rPr>
        <w:t xml:space="preserve"> Agency </w:t>
      </w:r>
      <w:r w:rsidR="009F70CC" w:rsidRPr="00FD7726">
        <w:rPr>
          <w:rFonts w:ascii="Arial" w:hAnsi="Arial" w:cs="Arial"/>
          <w:sz w:val="22"/>
          <w:szCs w:val="22"/>
        </w:rPr>
        <w:t>has employed several methods to ensure that no remuneration data for any individual or organisation is identifiable. These include:</w:t>
      </w:r>
    </w:p>
    <w:p w14:paraId="1176367A" w14:textId="77777777" w:rsidR="00FD7726" w:rsidRDefault="00A104FF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>Remuneration data are excluded from public reports</w:t>
      </w:r>
    </w:p>
    <w:p w14:paraId="7F14A0E9" w14:textId="77777777" w:rsidR="009F70CC" w:rsidRPr="00FD7726" w:rsidRDefault="009F70CC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 xml:space="preserve">The results of gender pay gap calculations are presented only as percentages </w:t>
      </w:r>
      <w:r w:rsidR="00FD7726" w:rsidRPr="00FD7726">
        <w:rPr>
          <w:rFonts w:ascii="Arial" w:hAnsi="Arial" w:cs="Arial"/>
          <w:sz w:val="22"/>
          <w:szCs w:val="22"/>
        </w:rPr>
        <w:t>for benchmarking purposes</w:t>
      </w:r>
    </w:p>
    <w:p w14:paraId="556E0C7F" w14:textId="77777777" w:rsidR="009F70CC" w:rsidRPr="00FD7726" w:rsidRDefault="009F70CC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>The number of organisations in the comparison group is always at least five for</w:t>
      </w:r>
      <w:r w:rsidR="00A104FF" w:rsidRPr="00FD7726">
        <w:rPr>
          <w:rFonts w:ascii="Arial" w:hAnsi="Arial" w:cs="Arial"/>
          <w:sz w:val="22"/>
          <w:szCs w:val="22"/>
        </w:rPr>
        <w:t xml:space="preserve"> </w:t>
      </w:r>
      <w:r w:rsidR="00FD7726" w:rsidRPr="00FD7726">
        <w:rPr>
          <w:rFonts w:ascii="Arial" w:hAnsi="Arial" w:cs="Arial"/>
          <w:sz w:val="22"/>
          <w:szCs w:val="22"/>
        </w:rPr>
        <w:t>benchmarking purposes</w:t>
      </w:r>
    </w:p>
    <w:p w14:paraId="79E235BB" w14:textId="77777777" w:rsidR="009F70CC" w:rsidRPr="00FD7726" w:rsidRDefault="009F70CC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 xml:space="preserve">CEO remuneration data is not presented in any of the </w:t>
      </w:r>
      <w:r w:rsidR="004B6898">
        <w:rPr>
          <w:rFonts w:ascii="Arial" w:hAnsi="Arial" w:cs="Arial"/>
          <w:sz w:val="22"/>
          <w:szCs w:val="22"/>
        </w:rPr>
        <w:t>data products</w:t>
      </w:r>
    </w:p>
    <w:p w14:paraId="76343FB7" w14:textId="77777777" w:rsidR="00FD7726" w:rsidRPr="00FD7726" w:rsidRDefault="008729A7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 xml:space="preserve">The security of the Agency’s Information Communication and Technology (ICT) systems is managed in accordance with the </w:t>
      </w:r>
      <w:hyperlink r:id="rId6" w:history="1">
        <w:r w:rsidRPr="008C5AE4">
          <w:rPr>
            <w:rStyle w:val="Hyperlink"/>
            <w:rFonts w:ascii="Arial" w:hAnsi="Arial" w:cs="Arial"/>
            <w:sz w:val="22"/>
            <w:szCs w:val="22"/>
          </w:rPr>
          <w:t>Australian Government Protective Security Framework</w:t>
        </w:r>
      </w:hyperlink>
      <w:r w:rsidRPr="00FD7726">
        <w:rPr>
          <w:rFonts w:ascii="Arial" w:hAnsi="Arial" w:cs="Arial"/>
          <w:sz w:val="22"/>
          <w:szCs w:val="22"/>
        </w:rPr>
        <w:t xml:space="preserve"> and the </w:t>
      </w:r>
      <w:hyperlink r:id="rId7" w:history="1">
        <w:r w:rsidRPr="008C5AE4">
          <w:rPr>
            <w:rStyle w:val="Hyperlink"/>
            <w:rFonts w:ascii="Arial" w:hAnsi="Arial" w:cs="Arial"/>
            <w:sz w:val="22"/>
            <w:szCs w:val="22"/>
          </w:rPr>
          <w:t xml:space="preserve">Information Security </w:t>
        </w:r>
        <w:r w:rsidR="00FD7726" w:rsidRPr="008C5AE4">
          <w:rPr>
            <w:rStyle w:val="Hyperlink"/>
            <w:rFonts w:ascii="Arial" w:hAnsi="Arial" w:cs="Arial"/>
            <w:sz w:val="22"/>
            <w:szCs w:val="22"/>
          </w:rPr>
          <w:t>Manual</w:t>
        </w:r>
      </w:hyperlink>
    </w:p>
    <w:p w14:paraId="4D7D4831" w14:textId="77777777" w:rsidR="00FD7726" w:rsidRPr="00FD7726" w:rsidRDefault="008729A7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>Data submitted to the Agency is managed in accordance with the</w:t>
      </w:r>
      <w:r w:rsidR="009B2924">
        <w:rPr>
          <w:rFonts w:ascii="Arial" w:hAnsi="Arial" w:cs="Arial"/>
          <w:sz w:val="22"/>
          <w:szCs w:val="22"/>
        </w:rPr>
        <w:t xml:space="preserve"> Agency’s </w:t>
      </w:r>
      <w:hyperlink r:id="rId8" w:history="1">
        <w:r w:rsidR="009B2924" w:rsidRPr="009B2924">
          <w:rPr>
            <w:rStyle w:val="Hyperlink"/>
            <w:rFonts w:ascii="Arial" w:hAnsi="Arial" w:cs="Arial"/>
            <w:sz w:val="22"/>
            <w:szCs w:val="22"/>
          </w:rPr>
          <w:t>Data Quality Framework</w:t>
        </w:r>
      </w:hyperlink>
    </w:p>
    <w:p w14:paraId="5A474B41" w14:textId="77777777" w:rsidR="008729A7" w:rsidRPr="00FD7726" w:rsidRDefault="008729A7" w:rsidP="008C5AE4">
      <w:pPr>
        <w:pStyle w:val="Bullets1stindent"/>
        <w:numPr>
          <w:ilvl w:val="0"/>
          <w:numId w:val="5"/>
        </w:numPr>
        <w:spacing w:before="0" w:after="240" w:line="240" w:lineRule="auto"/>
        <w:contextualSpacing/>
        <w:rPr>
          <w:rFonts w:ascii="Arial" w:hAnsi="Arial" w:cs="Arial"/>
          <w:sz w:val="22"/>
          <w:szCs w:val="22"/>
        </w:rPr>
      </w:pPr>
      <w:r w:rsidRPr="00FD7726">
        <w:rPr>
          <w:rFonts w:ascii="Arial" w:hAnsi="Arial" w:cs="Arial"/>
          <w:sz w:val="22"/>
          <w:szCs w:val="22"/>
        </w:rPr>
        <w:t xml:space="preserve">Only authorised Agency personnel have access to any of the remuneration data and section 14 of the </w:t>
      </w:r>
      <w:r w:rsidR="00FD7726" w:rsidRPr="00FD7726">
        <w:rPr>
          <w:rFonts w:ascii="Arial" w:hAnsi="Arial" w:cs="Arial"/>
          <w:sz w:val="22"/>
          <w:szCs w:val="22"/>
        </w:rPr>
        <w:t xml:space="preserve">Act </w:t>
      </w:r>
      <w:r w:rsidRPr="00FD7726">
        <w:rPr>
          <w:rFonts w:ascii="Arial" w:hAnsi="Arial" w:cs="Arial"/>
          <w:sz w:val="22"/>
          <w:szCs w:val="22"/>
        </w:rPr>
        <w:t>provides strict controls over the dissemination of this information.</w:t>
      </w:r>
    </w:p>
    <w:p w14:paraId="7C1ED314" w14:textId="77777777" w:rsidR="008729A7" w:rsidRDefault="008729A7">
      <w:pPr>
        <w:rPr>
          <w:rFonts w:ascii="Arial" w:hAnsi="Arial" w:cs="Arial"/>
          <w:color w:val="333333"/>
        </w:rPr>
      </w:pPr>
    </w:p>
    <w:p w14:paraId="459497A2" w14:textId="77777777" w:rsidR="00ED7973" w:rsidRPr="00440CE7" w:rsidRDefault="001375AF" w:rsidP="001375AF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RELEVANCE</w:t>
      </w:r>
    </w:p>
    <w:p w14:paraId="7089F4F2" w14:textId="77777777" w:rsidR="009E2708" w:rsidRDefault="008C18EB" w:rsidP="00440CE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The d</w:t>
      </w:r>
      <w:r w:rsidR="001D2FBF">
        <w:rPr>
          <w:rFonts w:ascii="Arial" w:eastAsia="Times New Roman" w:hAnsi="Arial" w:cs="Arial"/>
          <w:color w:val="333333"/>
          <w:lang w:eastAsia="en-AU"/>
        </w:rPr>
        <w:t xml:space="preserve">ata </w:t>
      </w:r>
      <w:r w:rsidR="009E2708">
        <w:rPr>
          <w:rFonts w:ascii="Arial" w:eastAsia="Times New Roman" w:hAnsi="Arial" w:cs="Arial"/>
          <w:color w:val="333333"/>
          <w:lang w:eastAsia="en-AU"/>
        </w:rPr>
        <w:t>collected from relevant employers</w:t>
      </w:r>
      <w:r w:rsidR="0003783A">
        <w:rPr>
          <w:rFonts w:ascii="Arial" w:eastAsia="Times New Roman" w:hAnsi="Arial" w:cs="Arial"/>
          <w:color w:val="333333"/>
          <w:lang w:eastAsia="en-AU"/>
        </w:rPr>
        <w:t xml:space="preserve"> </w:t>
      </w:r>
      <w:r w:rsidR="00EC7371">
        <w:rPr>
          <w:rFonts w:ascii="Arial" w:eastAsia="Times New Roman" w:hAnsi="Arial" w:cs="Arial"/>
          <w:color w:val="333333"/>
          <w:lang w:eastAsia="en-AU"/>
        </w:rPr>
        <w:t>measures</w:t>
      </w:r>
      <w:r w:rsidR="0003783A">
        <w:rPr>
          <w:rFonts w:ascii="Arial" w:eastAsia="Times New Roman" w:hAnsi="Arial" w:cs="Arial"/>
          <w:color w:val="333333"/>
          <w:lang w:eastAsia="en-AU"/>
        </w:rPr>
        <w:t xml:space="preserve"> their outcomes against the gender equality indicators. The gender equality indicators are:</w:t>
      </w:r>
    </w:p>
    <w:p w14:paraId="7786D29C" w14:textId="77777777" w:rsidR="0003783A" w:rsidRDefault="0003783A" w:rsidP="0003783A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GEI 1: Gender composition of workforce</w:t>
      </w:r>
    </w:p>
    <w:p w14:paraId="0A4A9DB1" w14:textId="77777777" w:rsidR="0003783A" w:rsidRDefault="0003783A" w:rsidP="0003783A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GEI 2: Gender composition of governing bodies of relevant employers</w:t>
      </w:r>
    </w:p>
    <w:p w14:paraId="6B903BE1" w14:textId="77777777" w:rsidR="0003783A" w:rsidRDefault="0003783A" w:rsidP="0003783A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GEI 3: Equal remuneration against women</w:t>
      </w:r>
    </w:p>
    <w:p w14:paraId="175629DE" w14:textId="77777777" w:rsidR="0003783A" w:rsidRDefault="0003783A" w:rsidP="0003783A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lastRenderedPageBreak/>
        <w:t>GEI 4: Availability and utility of employment terms, conditions and practices relating to flexible working arrangements for employees and to working arrangements supporting employees with family or caring responsibilities</w:t>
      </w:r>
    </w:p>
    <w:p w14:paraId="5F90D854" w14:textId="77777777" w:rsidR="0003783A" w:rsidRDefault="0003783A" w:rsidP="0003783A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 xml:space="preserve">GEI 5: Consultation with employees on issues concerning gender equality in the </w:t>
      </w:r>
      <w:r w:rsidR="007266C1">
        <w:rPr>
          <w:rFonts w:ascii="Arial" w:eastAsia="Times New Roman" w:hAnsi="Arial" w:cs="Arial"/>
          <w:color w:val="333333"/>
          <w:lang w:eastAsia="en-AU"/>
        </w:rPr>
        <w:t>workplace</w:t>
      </w:r>
    </w:p>
    <w:p w14:paraId="52C7EE93" w14:textId="77777777" w:rsidR="00DF3A6A" w:rsidRDefault="00DF3A6A" w:rsidP="0003783A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GEI 6: Sex based harassment and discrimination</w:t>
      </w:r>
    </w:p>
    <w:p w14:paraId="5B1851FF" w14:textId="77777777" w:rsidR="0088068E" w:rsidRDefault="0088068E" w:rsidP="00690523">
      <w:pPr>
        <w:rPr>
          <w:rFonts w:ascii="Arial" w:eastAsia="Times New Roman" w:hAnsi="Arial" w:cs="Arial"/>
          <w:color w:val="333333"/>
          <w:lang w:eastAsia="en-AU"/>
        </w:rPr>
      </w:pPr>
      <w:r w:rsidRPr="0088068E">
        <w:rPr>
          <w:rFonts w:ascii="Arial" w:eastAsia="Times New Roman" w:hAnsi="Arial" w:cs="Arial"/>
          <w:color w:val="333333"/>
          <w:lang w:eastAsia="en-AU"/>
        </w:rPr>
        <w:t xml:space="preserve">Relevant employers are employers with 100 </w:t>
      </w:r>
      <w:r>
        <w:rPr>
          <w:rFonts w:ascii="Arial" w:eastAsia="Times New Roman" w:hAnsi="Arial" w:cs="Arial"/>
          <w:color w:val="333333"/>
          <w:lang w:eastAsia="en-AU"/>
        </w:rPr>
        <w:t xml:space="preserve">or more </w:t>
      </w:r>
      <w:r w:rsidRPr="0088068E">
        <w:rPr>
          <w:rFonts w:ascii="Arial" w:eastAsia="Times New Roman" w:hAnsi="Arial" w:cs="Arial"/>
          <w:color w:val="333333"/>
          <w:lang w:eastAsia="en-AU"/>
        </w:rPr>
        <w:t>employees (including employees in subsidiaries) in Australia and registered higher education providers that is an employer. Public sector employers are not relevant employers.</w:t>
      </w:r>
      <w:r>
        <w:rPr>
          <w:rFonts w:ascii="Arial" w:eastAsia="Times New Roman" w:hAnsi="Arial" w:cs="Arial"/>
          <w:color w:val="333333"/>
          <w:lang w:eastAsia="en-AU"/>
        </w:rPr>
        <w:t xml:space="preserve"> </w:t>
      </w:r>
      <w:r w:rsidR="009E266B">
        <w:rPr>
          <w:rFonts w:ascii="Arial" w:eastAsia="Times New Roman" w:hAnsi="Arial" w:cs="Arial"/>
          <w:color w:val="333333"/>
          <w:lang w:eastAsia="en-AU"/>
        </w:rPr>
        <w:t>Employers that had a relevant employer status for less than six months of a reporting period are not required to submit their data.</w:t>
      </w:r>
    </w:p>
    <w:p w14:paraId="4F0E803F" w14:textId="77777777" w:rsidR="0081439E" w:rsidRDefault="001D2FBF" w:rsidP="00690523">
      <w:pPr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 xml:space="preserve">The data </w:t>
      </w:r>
      <w:r w:rsidR="0081439E">
        <w:rPr>
          <w:rFonts w:ascii="Arial" w:eastAsia="Times New Roman" w:hAnsi="Arial" w:cs="Arial"/>
          <w:color w:val="333333"/>
          <w:lang w:eastAsia="en-AU"/>
        </w:rPr>
        <w:t>covers full-time, part-time, casual, and temporary employees of relevant e</w:t>
      </w:r>
      <w:r w:rsidR="00EC593F">
        <w:rPr>
          <w:rFonts w:ascii="Arial" w:eastAsia="Times New Roman" w:hAnsi="Arial" w:cs="Arial"/>
          <w:color w:val="333333"/>
          <w:lang w:eastAsia="en-AU"/>
        </w:rPr>
        <w:t xml:space="preserve">mployers. Independent contractors </w:t>
      </w:r>
      <w:r w:rsidR="0081439E">
        <w:rPr>
          <w:rFonts w:ascii="Arial" w:eastAsia="Times New Roman" w:hAnsi="Arial" w:cs="Arial"/>
          <w:color w:val="333333"/>
          <w:lang w:eastAsia="en-AU"/>
        </w:rPr>
        <w:t>are not included in the submissions.</w:t>
      </w:r>
    </w:p>
    <w:p w14:paraId="7A5ADE34" w14:textId="77777777" w:rsidR="0061207C" w:rsidRDefault="009B2924" w:rsidP="00690523">
      <w:pPr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Relevant employers are classified by industry</w:t>
      </w:r>
      <w:r w:rsidR="0061207C">
        <w:rPr>
          <w:rFonts w:ascii="Arial" w:eastAsia="Times New Roman" w:hAnsi="Arial" w:cs="Arial"/>
          <w:color w:val="333333"/>
          <w:lang w:eastAsia="en-AU"/>
        </w:rPr>
        <w:t xml:space="preserve"> as per the </w:t>
      </w:r>
      <w:hyperlink r:id="rId9" w:history="1">
        <w:r w:rsidR="0061207C" w:rsidRPr="0061207C">
          <w:rPr>
            <w:rStyle w:val="Hyperlink"/>
            <w:rFonts w:ascii="Arial" w:eastAsia="Times New Roman" w:hAnsi="Arial" w:cs="Arial"/>
            <w:lang w:eastAsia="en-AU"/>
          </w:rPr>
          <w:t>Australian and New Zealand Standard Industrial Classification (ANZSIC) framework</w:t>
        </w:r>
      </w:hyperlink>
      <w:r w:rsidR="0061207C" w:rsidRPr="0061207C">
        <w:rPr>
          <w:rFonts w:ascii="Arial" w:eastAsia="Times New Roman" w:hAnsi="Arial" w:cs="Arial"/>
          <w:color w:val="333333"/>
          <w:lang w:eastAsia="en-AU"/>
        </w:rPr>
        <w:t>.</w:t>
      </w:r>
      <w:r>
        <w:rPr>
          <w:rFonts w:ascii="Arial" w:eastAsia="Times New Roman" w:hAnsi="Arial" w:cs="Arial"/>
          <w:color w:val="333333"/>
          <w:lang w:eastAsia="en-AU"/>
        </w:rPr>
        <w:t xml:space="preserve"> </w:t>
      </w:r>
      <w:r w:rsidR="0061207C">
        <w:rPr>
          <w:rFonts w:ascii="Arial" w:eastAsia="Times New Roman" w:hAnsi="Arial" w:cs="Arial"/>
          <w:color w:val="333333"/>
          <w:lang w:eastAsia="en-AU"/>
        </w:rPr>
        <w:t>If a relevant employer operates in multiple industries, the ANZSIC classification would reflect their main business activity.</w:t>
      </w:r>
      <w:r w:rsidR="0081439E">
        <w:rPr>
          <w:rFonts w:ascii="Arial" w:eastAsia="Times New Roman" w:hAnsi="Arial" w:cs="Arial"/>
          <w:color w:val="333333"/>
          <w:lang w:eastAsia="en-AU"/>
        </w:rPr>
        <w:t xml:space="preserve"> </w:t>
      </w:r>
    </w:p>
    <w:p w14:paraId="0B0B719F" w14:textId="77777777" w:rsidR="009F70CC" w:rsidRDefault="006E48DA" w:rsidP="00690523">
      <w:pPr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 xml:space="preserve">Employee data is </w:t>
      </w:r>
      <w:r w:rsidR="00090125">
        <w:rPr>
          <w:rFonts w:ascii="Arial" w:eastAsia="Times New Roman" w:hAnsi="Arial" w:cs="Arial"/>
          <w:color w:val="333333"/>
          <w:lang w:eastAsia="en-AU"/>
        </w:rPr>
        <w:t xml:space="preserve">categorised into </w:t>
      </w:r>
      <w:r w:rsidR="0061207C">
        <w:rPr>
          <w:rFonts w:ascii="Arial" w:eastAsia="Times New Roman" w:hAnsi="Arial" w:cs="Arial"/>
          <w:color w:val="333333"/>
          <w:lang w:eastAsia="en-AU"/>
        </w:rPr>
        <w:t xml:space="preserve">non-managers and managers groups. Non-managers are </w:t>
      </w:r>
      <w:r>
        <w:rPr>
          <w:rFonts w:ascii="Arial" w:eastAsia="Times New Roman" w:hAnsi="Arial" w:cs="Arial"/>
          <w:color w:val="333333"/>
          <w:lang w:eastAsia="en-AU"/>
        </w:rPr>
        <w:t>classified according to the major group of the</w:t>
      </w:r>
      <w:r w:rsidR="0061207C">
        <w:rPr>
          <w:rFonts w:ascii="Arial" w:eastAsia="Times New Roman" w:hAnsi="Arial" w:cs="Arial"/>
          <w:color w:val="333333"/>
          <w:lang w:eastAsia="en-AU"/>
        </w:rPr>
        <w:t xml:space="preserve"> </w:t>
      </w:r>
      <w:hyperlink r:id="rId10" w:history="1">
        <w:r w:rsidR="0061207C" w:rsidRPr="00090125">
          <w:rPr>
            <w:rStyle w:val="Hyperlink"/>
            <w:rFonts w:ascii="Arial" w:eastAsia="Times New Roman" w:hAnsi="Arial" w:cs="Arial"/>
            <w:lang w:eastAsia="en-AU"/>
          </w:rPr>
          <w:t>Australian and New Zealand Standard Classification of Occupations (ANZSCO) framework</w:t>
        </w:r>
      </w:hyperlink>
      <w:r w:rsidR="0061207C">
        <w:rPr>
          <w:rFonts w:ascii="Arial" w:eastAsia="Times New Roman" w:hAnsi="Arial" w:cs="Arial"/>
          <w:color w:val="333333"/>
          <w:lang w:eastAsia="en-AU"/>
        </w:rPr>
        <w:t>.</w:t>
      </w:r>
      <w:r w:rsidR="00090125">
        <w:rPr>
          <w:rFonts w:ascii="Arial" w:eastAsia="Times New Roman" w:hAnsi="Arial" w:cs="Arial"/>
          <w:color w:val="333333"/>
          <w:lang w:eastAsia="en-AU"/>
        </w:rPr>
        <w:t xml:space="preserve"> </w:t>
      </w:r>
      <w:r w:rsidR="008729A7" w:rsidRPr="00090125">
        <w:rPr>
          <w:rFonts w:ascii="Arial" w:hAnsi="Arial" w:cs="Arial"/>
        </w:rPr>
        <w:t xml:space="preserve">An additional category ‘others’ </w:t>
      </w:r>
      <w:r w:rsidR="009A646D">
        <w:rPr>
          <w:rFonts w:ascii="Arial" w:hAnsi="Arial" w:cs="Arial"/>
        </w:rPr>
        <w:t xml:space="preserve">refers to </w:t>
      </w:r>
      <w:r w:rsidR="008729A7" w:rsidRPr="00090125">
        <w:rPr>
          <w:rFonts w:ascii="Arial" w:hAnsi="Arial" w:cs="Arial"/>
        </w:rPr>
        <w:t xml:space="preserve">roles that are highly specialised and unable to be classified under the </w:t>
      </w:r>
      <w:r w:rsidR="006D20B5">
        <w:rPr>
          <w:rFonts w:ascii="Arial" w:hAnsi="Arial" w:cs="Arial"/>
        </w:rPr>
        <w:t>ANZSCO nomenclature</w:t>
      </w:r>
      <w:r w:rsidR="00090125" w:rsidRPr="00090125">
        <w:rPr>
          <w:rFonts w:ascii="Arial" w:hAnsi="Arial" w:cs="Arial"/>
        </w:rPr>
        <w:t xml:space="preserve">. </w:t>
      </w:r>
      <w:r w:rsidR="00920E7E" w:rsidRPr="00090125">
        <w:rPr>
          <w:rFonts w:ascii="Arial" w:eastAsia="Times New Roman" w:hAnsi="Arial" w:cs="Arial"/>
          <w:color w:val="333333"/>
          <w:lang w:eastAsia="en-AU"/>
        </w:rPr>
        <w:t>Manager</w:t>
      </w:r>
      <w:r w:rsidR="00E04BBE">
        <w:rPr>
          <w:rFonts w:ascii="Arial" w:eastAsia="Times New Roman" w:hAnsi="Arial" w:cs="Arial"/>
          <w:color w:val="333333"/>
          <w:lang w:eastAsia="en-AU"/>
        </w:rPr>
        <w:t>s</w:t>
      </w:r>
      <w:r w:rsidR="00920E7E" w:rsidRPr="00090125">
        <w:rPr>
          <w:rFonts w:ascii="Arial" w:eastAsia="Times New Roman" w:hAnsi="Arial" w:cs="Arial"/>
          <w:color w:val="333333"/>
          <w:lang w:eastAsia="en-AU"/>
        </w:rPr>
        <w:t xml:space="preserve"> </w:t>
      </w:r>
      <w:r w:rsidR="00090125" w:rsidRPr="00090125">
        <w:rPr>
          <w:rFonts w:ascii="Arial" w:eastAsia="Times New Roman" w:hAnsi="Arial" w:cs="Arial"/>
          <w:color w:val="333333"/>
          <w:lang w:eastAsia="en-AU"/>
        </w:rPr>
        <w:t xml:space="preserve">are classified into Agency specific categories, which are not covered </w:t>
      </w:r>
      <w:r w:rsidR="00E04BBE">
        <w:rPr>
          <w:rFonts w:ascii="Arial" w:eastAsia="Times New Roman" w:hAnsi="Arial" w:cs="Arial"/>
          <w:color w:val="333333"/>
          <w:lang w:eastAsia="en-AU"/>
        </w:rPr>
        <w:t>by the</w:t>
      </w:r>
      <w:r w:rsidR="00090125" w:rsidRPr="00090125">
        <w:rPr>
          <w:rFonts w:ascii="Arial" w:eastAsia="Times New Roman" w:hAnsi="Arial" w:cs="Arial"/>
          <w:color w:val="333333"/>
          <w:lang w:eastAsia="en-AU"/>
        </w:rPr>
        <w:t xml:space="preserve"> ANZSCO </w:t>
      </w:r>
      <w:r w:rsidR="00585E0E">
        <w:rPr>
          <w:rFonts w:ascii="Arial" w:eastAsia="Times New Roman" w:hAnsi="Arial" w:cs="Arial"/>
          <w:color w:val="333333"/>
          <w:lang w:eastAsia="en-AU"/>
        </w:rPr>
        <w:t>nomenclature</w:t>
      </w:r>
      <w:r w:rsidR="00090125" w:rsidRPr="00090125">
        <w:rPr>
          <w:rFonts w:ascii="Arial" w:eastAsia="Times New Roman" w:hAnsi="Arial" w:cs="Arial"/>
          <w:color w:val="333333"/>
          <w:lang w:eastAsia="en-AU"/>
        </w:rPr>
        <w:t>.</w:t>
      </w:r>
    </w:p>
    <w:p w14:paraId="511296A2" w14:textId="77777777" w:rsidR="00CF3C04" w:rsidRPr="00665556" w:rsidRDefault="001375AF" w:rsidP="000D2DF4">
      <w:pPr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TIMELINESS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 w:rsidR="0088068E" w:rsidRPr="00665556">
        <w:rPr>
          <w:rFonts w:ascii="Arial" w:eastAsia="Times New Roman" w:hAnsi="Arial" w:cs="Arial"/>
          <w:color w:val="333333"/>
          <w:lang w:eastAsia="en-AU"/>
        </w:rPr>
        <w:t>The data collec</w:t>
      </w:r>
      <w:r w:rsidR="000D2DF4" w:rsidRPr="00665556">
        <w:rPr>
          <w:rFonts w:ascii="Arial" w:eastAsia="Times New Roman" w:hAnsi="Arial" w:cs="Arial"/>
          <w:color w:val="333333"/>
          <w:lang w:eastAsia="en-AU"/>
        </w:rPr>
        <w:t xml:space="preserve">tion period commences on 1 April and ends on 31 May </w:t>
      </w:r>
      <w:r w:rsidR="00E04BBE">
        <w:rPr>
          <w:rFonts w:ascii="Arial" w:eastAsia="Times New Roman" w:hAnsi="Arial" w:cs="Arial"/>
          <w:color w:val="333333"/>
          <w:lang w:eastAsia="en-AU"/>
        </w:rPr>
        <w:t>for</w:t>
      </w:r>
      <w:r w:rsidR="0088068E" w:rsidRPr="00665556">
        <w:rPr>
          <w:rFonts w:ascii="Arial" w:eastAsia="Times New Roman" w:hAnsi="Arial" w:cs="Arial"/>
          <w:color w:val="333333"/>
          <w:lang w:eastAsia="en-AU"/>
        </w:rPr>
        <w:t xml:space="preserve"> each </w:t>
      </w:r>
      <w:r w:rsidR="00585E0E">
        <w:rPr>
          <w:rFonts w:ascii="Arial" w:eastAsia="Times New Roman" w:hAnsi="Arial" w:cs="Arial"/>
          <w:color w:val="333333"/>
          <w:lang w:eastAsia="en-AU"/>
        </w:rPr>
        <w:t xml:space="preserve">reporting </w:t>
      </w:r>
      <w:r w:rsidR="0088068E" w:rsidRPr="00665556">
        <w:rPr>
          <w:rFonts w:ascii="Arial" w:eastAsia="Times New Roman" w:hAnsi="Arial" w:cs="Arial"/>
          <w:color w:val="333333"/>
          <w:lang w:eastAsia="en-AU"/>
        </w:rPr>
        <w:t xml:space="preserve">year. </w:t>
      </w:r>
    </w:p>
    <w:p w14:paraId="5129B5B1" w14:textId="77777777" w:rsidR="0088068E" w:rsidRPr="00665556" w:rsidRDefault="0088068E" w:rsidP="000D2DF4">
      <w:pPr>
        <w:rPr>
          <w:rFonts w:ascii="Arial" w:eastAsia="Times New Roman" w:hAnsi="Arial" w:cs="Arial"/>
          <w:color w:val="333333"/>
          <w:lang w:eastAsia="en-AU"/>
        </w:rPr>
      </w:pPr>
      <w:r w:rsidRPr="00665556">
        <w:rPr>
          <w:rFonts w:ascii="Arial" w:eastAsia="Times New Roman" w:hAnsi="Arial" w:cs="Arial"/>
          <w:color w:val="333333"/>
          <w:lang w:eastAsia="en-AU"/>
        </w:rPr>
        <w:t xml:space="preserve">The </w:t>
      </w:r>
      <w:r w:rsidR="009E266B" w:rsidRPr="00665556">
        <w:rPr>
          <w:rFonts w:ascii="Arial" w:eastAsia="Times New Roman" w:hAnsi="Arial" w:cs="Arial"/>
          <w:color w:val="333333"/>
          <w:lang w:eastAsia="en-AU"/>
        </w:rPr>
        <w:t xml:space="preserve">reporting period for each collection </w:t>
      </w:r>
      <w:r w:rsidR="000D2DF4" w:rsidRPr="00665556">
        <w:rPr>
          <w:rFonts w:ascii="Arial" w:eastAsia="Times New Roman" w:hAnsi="Arial" w:cs="Arial"/>
          <w:color w:val="333333"/>
          <w:lang w:eastAsia="en-AU"/>
        </w:rPr>
        <w:t>is the preceding 12-month period (1 April of the previous yea</w:t>
      </w:r>
      <w:r w:rsidR="00585E0E">
        <w:rPr>
          <w:rFonts w:ascii="Arial" w:eastAsia="Times New Roman" w:hAnsi="Arial" w:cs="Arial"/>
          <w:color w:val="333333"/>
          <w:lang w:eastAsia="en-AU"/>
        </w:rPr>
        <w:t xml:space="preserve">r up to 31 March of the reporting </w:t>
      </w:r>
      <w:r w:rsidR="000D2DF4" w:rsidRPr="00665556">
        <w:rPr>
          <w:rFonts w:ascii="Arial" w:eastAsia="Times New Roman" w:hAnsi="Arial" w:cs="Arial"/>
          <w:color w:val="333333"/>
          <w:lang w:eastAsia="en-AU"/>
        </w:rPr>
        <w:t xml:space="preserve">year). </w:t>
      </w:r>
    </w:p>
    <w:p w14:paraId="482C3645" w14:textId="77777777" w:rsidR="0088068E" w:rsidRPr="00665556" w:rsidRDefault="00CF3C04" w:rsidP="00690523">
      <w:pPr>
        <w:rPr>
          <w:rFonts w:ascii="Arial" w:eastAsia="Times New Roman" w:hAnsi="Arial" w:cs="Arial"/>
          <w:color w:val="333333"/>
          <w:lang w:eastAsia="en-AU"/>
        </w:rPr>
      </w:pPr>
      <w:r w:rsidRPr="00665556">
        <w:rPr>
          <w:rFonts w:ascii="Arial" w:eastAsia="Times New Roman" w:hAnsi="Arial" w:cs="Arial"/>
          <w:color w:val="333333"/>
          <w:lang w:eastAsia="en-AU"/>
        </w:rPr>
        <w:t xml:space="preserve">The workforce profile is a snapshot of the relevant employer’s workforce. The snapshot date is any date during the reporting period. </w:t>
      </w:r>
    </w:p>
    <w:p w14:paraId="632ACF47" w14:textId="77777777" w:rsidR="00CF3C04" w:rsidRPr="00665556" w:rsidRDefault="00CF3C04" w:rsidP="00690523">
      <w:pPr>
        <w:rPr>
          <w:rFonts w:ascii="Arial" w:eastAsia="Times New Roman" w:hAnsi="Arial" w:cs="Arial"/>
          <w:color w:val="333333"/>
          <w:lang w:eastAsia="en-AU"/>
        </w:rPr>
      </w:pPr>
      <w:r w:rsidRPr="00665556">
        <w:rPr>
          <w:rFonts w:ascii="Arial" w:eastAsia="Times New Roman" w:hAnsi="Arial" w:cs="Arial"/>
          <w:color w:val="333333"/>
          <w:lang w:eastAsia="en-AU"/>
        </w:rPr>
        <w:t>The remuneration data cover</w:t>
      </w:r>
      <w:r w:rsidR="00EC7371" w:rsidRPr="00665556">
        <w:rPr>
          <w:rFonts w:ascii="Arial" w:eastAsia="Times New Roman" w:hAnsi="Arial" w:cs="Arial"/>
          <w:color w:val="333333"/>
          <w:lang w:eastAsia="en-AU"/>
        </w:rPr>
        <w:t>s</w:t>
      </w:r>
      <w:r w:rsidRPr="00665556">
        <w:rPr>
          <w:rFonts w:ascii="Arial" w:eastAsia="Times New Roman" w:hAnsi="Arial" w:cs="Arial"/>
          <w:color w:val="333333"/>
          <w:lang w:eastAsia="en-AU"/>
        </w:rPr>
        <w:t xml:space="preserve"> the consecutive 12 months before the snapshot date or the financial year that ends during the reporting period.</w:t>
      </w:r>
    </w:p>
    <w:p w14:paraId="7C5ECB4E" w14:textId="77777777" w:rsidR="00CF3C04" w:rsidRPr="00665556" w:rsidRDefault="008C18EB" w:rsidP="00690523">
      <w:pPr>
        <w:rPr>
          <w:rFonts w:ascii="Arial" w:eastAsia="Times New Roman" w:hAnsi="Arial" w:cs="Arial"/>
          <w:color w:val="333333"/>
          <w:lang w:eastAsia="en-AU"/>
        </w:rPr>
      </w:pPr>
      <w:r w:rsidRPr="00665556">
        <w:rPr>
          <w:rFonts w:ascii="Arial" w:eastAsia="Times New Roman" w:hAnsi="Arial" w:cs="Arial"/>
          <w:color w:val="333333"/>
          <w:lang w:eastAsia="en-AU"/>
        </w:rPr>
        <w:t xml:space="preserve">Responses to the questionnaire </w:t>
      </w:r>
      <w:r w:rsidR="00CF3C04" w:rsidRPr="00665556">
        <w:rPr>
          <w:rFonts w:ascii="Arial" w:eastAsia="Times New Roman" w:hAnsi="Arial" w:cs="Arial"/>
          <w:color w:val="333333"/>
          <w:lang w:eastAsia="en-AU"/>
        </w:rPr>
        <w:t>must all relate to the reporting period.</w:t>
      </w:r>
    </w:p>
    <w:p w14:paraId="5BAA5A7B" w14:textId="77777777" w:rsidR="00FF3471" w:rsidRDefault="00FF3471" w:rsidP="00690523">
      <w:pPr>
        <w:rPr>
          <w:rFonts w:ascii="Arial" w:eastAsia="Times New Roman" w:hAnsi="Arial" w:cs="Arial"/>
          <w:color w:val="333333"/>
          <w:lang w:eastAsia="en-AU"/>
        </w:rPr>
      </w:pPr>
      <w:r w:rsidRPr="00665556">
        <w:rPr>
          <w:rFonts w:ascii="Arial" w:eastAsia="Times New Roman" w:hAnsi="Arial" w:cs="Arial"/>
          <w:color w:val="333333"/>
          <w:lang w:eastAsia="en-AU"/>
        </w:rPr>
        <w:t>The Agency implements an operational</w:t>
      </w:r>
      <w:r w:rsidR="005A0369">
        <w:rPr>
          <w:rFonts w:ascii="Arial" w:eastAsia="Times New Roman" w:hAnsi="Arial" w:cs="Arial"/>
          <w:color w:val="333333"/>
          <w:lang w:eastAsia="en-AU"/>
        </w:rPr>
        <w:t xml:space="preserve"> data </w:t>
      </w:r>
      <w:r w:rsidR="005A0369" w:rsidRPr="00665556">
        <w:rPr>
          <w:rFonts w:ascii="Arial" w:eastAsia="Times New Roman" w:hAnsi="Arial" w:cs="Arial"/>
          <w:color w:val="333333"/>
          <w:lang w:eastAsia="en-AU"/>
        </w:rPr>
        <w:t>cut</w:t>
      </w:r>
      <w:r w:rsidRPr="00665556">
        <w:rPr>
          <w:rFonts w:ascii="Arial" w:eastAsia="Times New Roman" w:hAnsi="Arial" w:cs="Arial"/>
          <w:color w:val="333333"/>
          <w:lang w:eastAsia="en-AU"/>
        </w:rPr>
        <w:t xml:space="preserve">-off date. Relevant employers that have not submitted a report or have </w:t>
      </w:r>
      <w:r w:rsidR="002E1DA2" w:rsidRPr="00665556">
        <w:rPr>
          <w:rFonts w:ascii="Arial" w:eastAsia="Times New Roman" w:hAnsi="Arial" w:cs="Arial"/>
          <w:color w:val="333333"/>
          <w:lang w:eastAsia="en-AU"/>
        </w:rPr>
        <w:t xml:space="preserve">unresolved </w:t>
      </w:r>
      <w:r w:rsidRPr="00665556">
        <w:rPr>
          <w:rFonts w:ascii="Arial" w:eastAsia="Times New Roman" w:hAnsi="Arial" w:cs="Arial"/>
          <w:color w:val="333333"/>
          <w:lang w:eastAsia="en-AU"/>
        </w:rPr>
        <w:t>data anomalies by the cut-off date a</w:t>
      </w:r>
      <w:r w:rsidR="002E1DA2" w:rsidRPr="00665556">
        <w:rPr>
          <w:rFonts w:ascii="Arial" w:eastAsia="Times New Roman" w:hAnsi="Arial" w:cs="Arial"/>
          <w:color w:val="333333"/>
          <w:lang w:eastAsia="en-AU"/>
        </w:rPr>
        <w:t xml:space="preserve">re excluded from </w:t>
      </w:r>
      <w:r w:rsidR="007D65F9" w:rsidRPr="00665556">
        <w:rPr>
          <w:rFonts w:ascii="Arial" w:eastAsia="Times New Roman" w:hAnsi="Arial" w:cs="Arial"/>
          <w:color w:val="333333"/>
          <w:lang w:eastAsia="en-AU"/>
        </w:rPr>
        <w:t>dataset.</w:t>
      </w:r>
      <w:r w:rsidR="00585E0E">
        <w:rPr>
          <w:rFonts w:ascii="Arial" w:eastAsia="Times New Roman" w:hAnsi="Arial" w:cs="Arial"/>
          <w:color w:val="333333"/>
          <w:lang w:eastAsia="en-AU"/>
        </w:rPr>
        <w:t xml:space="preserve"> The operational cut-off date occurs in</w:t>
      </w:r>
      <w:r w:rsidR="005A0369">
        <w:rPr>
          <w:rFonts w:ascii="Arial" w:eastAsia="Times New Roman" w:hAnsi="Arial" w:cs="Arial"/>
          <w:color w:val="333333"/>
          <w:lang w:eastAsia="en-AU"/>
        </w:rPr>
        <w:t xml:space="preserve"> early</w:t>
      </w:r>
      <w:r w:rsidR="00585E0E">
        <w:rPr>
          <w:rFonts w:ascii="Arial" w:eastAsia="Times New Roman" w:hAnsi="Arial" w:cs="Arial"/>
          <w:color w:val="333333"/>
          <w:lang w:eastAsia="en-AU"/>
        </w:rPr>
        <w:t xml:space="preserve"> September of the reporting year.</w:t>
      </w:r>
    </w:p>
    <w:p w14:paraId="315E174C" w14:textId="77777777" w:rsidR="00E04BBE" w:rsidRPr="00665556" w:rsidRDefault="00E04BBE" w:rsidP="00690523">
      <w:pPr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Refer to the Data Quality Report &lt;link this to site&gt; for the cut-off and release dates implemented for a specific reporting year.</w:t>
      </w:r>
    </w:p>
    <w:p w14:paraId="01B086B2" w14:textId="77777777" w:rsidR="00BD06AF" w:rsidRDefault="00BD06AF" w:rsidP="001375AF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14:paraId="6C2C0419" w14:textId="77777777" w:rsidR="00EC7371" w:rsidRDefault="001375AF" w:rsidP="00EC7371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ACCURACY</w:t>
      </w:r>
    </w:p>
    <w:p w14:paraId="6FA61E14" w14:textId="77777777" w:rsidR="00EE0315" w:rsidRPr="00665556" w:rsidRDefault="007501B4" w:rsidP="001375AF">
      <w:pPr>
        <w:rPr>
          <w:rFonts w:ascii="Arial" w:hAnsi="Arial" w:cs="Arial"/>
          <w:color w:val="333333"/>
        </w:rPr>
      </w:pPr>
      <w:r w:rsidRPr="00665556">
        <w:rPr>
          <w:rFonts w:ascii="Arial" w:hAnsi="Arial" w:cs="Arial"/>
          <w:color w:val="333333"/>
        </w:rPr>
        <w:t>Data are subm</w:t>
      </w:r>
      <w:r w:rsidR="00EE0315" w:rsidRPr="00665556">
        <w:rPr>
          <w:rFonts w:ascii="Arial" w:hAnsi="Arial" w:cs="Arial"/>
          <w:color w:val="333333"/>
        </w:rPr>
        <w:t xml:space="preserve">itted through an online portal. </w:t>
      </w:r>
      <w:r w:rsidR="002E1DA2" w:rsidRPr="00665556">
        <w:rPr>
          <w:rFonts w:ascii="Arial" w:hAnsi="Arial" w:cs="Arial"/>
          <w:color w:val="333333"/>
        </w:rPr>
        <w:t xml:space="preserve">All </w:t>
      </w:r>
      <w:r w:rsidRPr="00665556">
        <w:rPr>
          <w:rFonts w:ascii="Arial" w:hAnsi="Arial" w:cs="Arial"/>
          <w:color w:val="333333"/>
        </w:rPr>
        <w:t xml:space="preserve">submissions </w:t>
      </w:r>
      <w:r w:rsidR="00D8581B" w:rsidRPr="00665556">
        <w:rPr>
          <w:rFonts w:ascii="Arial" w:hAnsi="Arial" w:cs="Arial"/>
          <w:color w:val="333333"/>
        </w:rPr>
        <w:t xml:space="preserve">undergo a series of data quality checks. </w:t>
      </w:r>
      <w:r w:rsidR="00EE0315" w:rsidRPr="00665556">
        <w:rPr>
          <w:rFonts w:ascii="Arial" w:hAnsi="Arial" w:cs="Arial"/>
          <w:color w:val="333333"/>
        </w:rPr>
        <w:t xml:space="preserve">The </w:t>
      </w:r>
      <w:r w:rsidR="003E45B2" w:rsidRPr="00665556">
        <w:rPr>
          <w:rFonts w:ascii="Arial" w:hAnsi="Arial" w:cs="Arial"/>
          <w:color w:val="333333"/>
        </w:rPr>
        <w:t xml:space="preserve">main type </w:t>
      </w:r>
      <w:r w:rsidR="00E8483F">
        <w:rPr>
          <w:rFonts w:ascii="Arial" w:hAnsi="Arial" w:cs="Arial"/>
          <w:color w:val="333333"/>
        </w:rPr>
        <w:t xml:space="preserve">errors </w:t>
      </w:r>
      <w:r w:rsidR="003E45B2" w:rsidRPr="00665556">
        <w:rPr>
          <w:rFonts w:ascii="Arial" w:hAnsi="Arial" w:cs="Arial"/>
          <w:color w:val="333333"/>
        </w:rPr>
        <w:t xml:space="preserve">detected are: </w:t>
      </w:r>
      <w:r w:rsidR="00EE0315" w:rsidRPr="00665556">
        <w:rPr>
          <w:rFonts w:ascii="Arial" w:hAnsi="Arial" w:cs="Arial"/>
          <w:color w:val="333333"/>
        </w:rPr>
        <w:t xml:space="preserve"> </w:t>
      </w:r>
    </w:p>
    <w:p w14:paraId="52DCE4DE" w14:textId="77777777" w:rsidR="00E2144A" w:rsidRPr="00E04BBE" w:rsidRDefault="003E45B2" w:rsidP="00E04BBE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 w:rsidRPr="00E2144A">
        <w:rPr>
          <w:rFonts w:ascii="Arial" w:hAnsi="Arial" w:cs="Arial"/>
          <w:color w:val="333333"/>
        </w:rPr>
        <w:lastRenderedPageBreak/>
        <w:t>Respondent error</w:t>
      </w:r>
      <w:r w:rsidR="00430A9B" w:rsidRPr="00E2144A">
        <w:rPr>
          <w:rFonts w:ascii="Arial" w:hAnsi="Arial" w:cs="Arial"/>
          <w:color w:val="333333"/>
        </w:rPr>
        <w:t xml:space="preserve"> – this occurs when the</w:t>
      </w:r>
      <w:r w:rsidR="00665556" w:rsidRPr="00E2144A">
        <w:rPr>
          <w:rFonts w:ascii="Arial" w:hAnsi="Arial" w:cs="Arial"/>
          <w:color w:val="333333"/>
        </w:rPr>
        <w:t xml:space="preserve"> respondent for the relevant employer does not understand the requirements of the profile and questionnaire. </w:t>
      </w:r>
      <w:r w:rsidR="00430A9B" w:rsidRPr="00E2144A">
        <w:rPr>
          <w:rFonts w:ascii="Arial" w:hAnsi="Arial" w:cs="Arial"/>
          <w:color w:val="333333"/>
        </w:rPr>
        <w:t xml:space="preserve">The respondent might </w:t>
      </w:r>
      <w:r w:rsidR="00E2144A">
        <w:rPr>
          <w:rFonts w:ascii="Arial" w:hAnsi="Arial" w:cs="Arial"/>
          <w:color w:val="333333"/>
        </w:rPr>
        <w:t xml:space="preserve">also </w:t>
      </w:r>
      <w:r w:rsidR="005A0369">
        <w:rPr>
          <w:rFonts w:ascii="Arial" w:hAnsi="Arial" w:cs="Arial"/>
          <w:color w:val="333333"/>
        </w:rPr>
        <w:t>un</w:t>
      </w:r>
      <w:r w:rsidR="00E2144A">
        <w:rPr>
          <w:rFonts w:ascii="Arial" w:hAnsi="Arial" w:cs="Arial"/>
          <w:color w:val="333333"/>
        </w:rPr>
        <w:t xml:space="preserve">intentionally </w:t>
      </w:r>
      <w:r w:rsidR="00430A9B" w:rsidRPr="00E2144A">
        <w:rPr>
          <w:rFonts w:ascii="Arial" w:hAnsi="Arial" w:cs="Arial"/>
          <w:color w:val="333333"/>
        </w:rPr>
        <w:t>provide incorrec</w:t>
      </w:r>
      <w:r w:rsidR="00E2144A">
        <w:rPr>
          <w:rFonts w:ascii="Arial" w:hAnsi="Arial" w:cs="Arial"/>
          <w:color w:val="333333"/>
        </w:rPr>
        <w:t>t answers to the questionnaire</w:t>
      </w:r>
      <w:r w:rsidR="005A0369">
        <w:rPr>
          <w:rFonts w:ascii="Arial" w:hAnsi="Arial" w:cs="Arial"/>
          <w:color w:val="333333"/>
        </w:rPr>
        <w:t xml:space="preserve"> or workplace profile</w:t>
      </w:r>
      <w:r w:rsidR="00E2144A">
        <w:rPr>
          <w:rFonts w:ascii="Arial" w:hAnsi="Arial" w:cs="Arial"/>
          <w:color w:val="333333"/>
        </w:rPr>
        <w:t>.</w:t>
      </w:r>
    </w:p>
    <w:p w14:paraId="7F44FF5F" w14:textId="77777777" w:rsidR="00E2144A" w:rsidRPr="00E04BBE" w:rsidRDefault="00430A9B" w:rsidP="00E04BBE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Processing error –</w:t>
      </w:r>
      <w:r w:rsidR="00D31FBD">
        <w:rPr>
          <w:rFonts w:ascii="Arial" w:hAnsi="Arial" w:cs="Arial"/>
          <w:color w:val="333333"/>
        </w:rPr>
        <w:t xml:space="preserve"> technical</w:t>
      </w:r>
      <w:r w:rsidR="005A0369">
        <w:rPr>
          <w:rFonts w:ascii="Arial" w:hAnsi="Arial" w:cs="Arial"/>
          <w:color w:val="333333"/>
        </w:rPr>
        <w:t xml:space="preserve"> or system</w:t>
      </w:r>
      <w:r w:rsidR="00D31FBD">
        <w:rPr>
          <w:rFonts w:ascii="Arial" w:hAnsi="Arial" w:cs="Arial"/>
          <w:color w:val="333333"/>
        </w:rPr>
        <w:t xml:space="preserve"> issues could occur at the data collection stage, particularly at peak submission periods. </w:t>
      </w:r>
    </w:p>
    <w:p w14:paraId="1505E0D7" w14:textId="77777777" w:rsidR="00A91745" w:rsidRPr="00E04BBE" w:rsidRDefault="00D31FBD" w:rsidP="00E04BBE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 w:rsidRPr="00E2144A">
        <w:rPr>
          <w:rFonts w:ascii="Arial" w:hAnsi="Arial" w:cs="Arial"/>
          <w:color w:val="333333"/>
        </w:rPr>
        <w:t xml:space="preserve">Partial response – </w:t>
      </w:r>
      <w:r w:rsidR="00E2144A">
        <w:rPr>
          <w:rFonts w:ascii="Arial" w:hAnsi="Arial" w:cs="Arial"/>
          <w:color w:val="333333"/>
        </w:rPr>
        <w:t xml:space="preserve">not all items in the questionnaire are mandatory. This carries the risk of involuntary non-responses. </w:t>
      </w:r>
    </w:p>
    <w:p w14:paraId="1D8F5F5D" w14:textId="77777777" w:rsidR="00A91745" w:rsidRPr="00E2144A" w:rsidRDefault="00A91745" w:rsidP="00E2144A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Undercount – this occurs when a relevant employer has not been identified by the Agency as a relevant employer for the reporting year.</w:t>
      </w:r>
    </w:p>
    <w:p w14:paraId="204A42A9" w14:textId="77777777" w:rsidR="005A0369" w:rsidRDefault="00665556" w:rsidP="001375AF">
      <w:pPr>
        <w:rPr>
          <w:rFonts w:ascii="Arial" w:hAnsi="Arial" w:cs="Arial"/>
          <w:color w:val="333333"/>
        </w:rPr>
      </w:pPr>
      <w:r w:rsidRPr="00430A9B">
        <w:rPr>
          <w:rFonts w:ascii="Arial" w:hAnsi="Arial" w:cs="Arial"/>
          <w:color w:val="333333"/>
        </w:rPr>
        <w:t xml:space="preserve">To </w:t>
      </w:r>
      <w:r w:rsidR="00430A9B">
        <w:rPr>
          <w:rFonts w:ascii="Arial" w:hAnsi="Arial" w:cs="Arial"/>
          <w:color w:val="333333"/>
        </w:rPr>
        <w:t xml:space="preserve">minimise </w:t>
      </w:r>
      <w:r w:rsidRPr="00430A9B">
        <w:rPr>
          <w:rFonts w:ascii="Arial" w:hAnsi="Arial" w:cs="Arial"/>
          <w:color w:val="333333"/>
        </w:rPr>
        <w:t>error</w:t>
      </w:r>
      <w:r w:rsidR="00430A9B" w:rsidRPr="00430A9B">
        <w:rPr>
          <w:rFonts w:ascii="Arial" w:hAnsi="Arial" w:cs="Arial"/>
          <w:color w:val="333333"/>
        </w:rPr>
        <w:t>s</w:t>
      </w:r>
      <w:r w:rsidRPr="00430A9B">
        <w:rPr>
          <w:rFonts w:ascii="Arial" w:hAnsi="Arial" w:cs="Arial"/>
          <w:color w:val="333333"/>
        </w:rPr>
        <w:t xml:space="preserve">, the Agency provides </w:t>
      </w:r>
      <w:r w:rsidR="00430A9B">
        <w:rPr>
          <w:rFonts w:ascii="Arial" w:hAnsi="Arial" w:cs="Arial"/>
          <w:color w:val="333333"/>
        </w:rPr>
        <w:t>support</w:t>
      </w:r>
      <w:r w:rsidR="00346080">
        <w:rPr>
          <w:rFonts w:ascii="Arial" w:hAnsi="Arial" w:cs="Arial"/>
          <w:color w:val="333333"/>
        </w:rPr>
        <w:t xml:space="preserve"> and online resources</w:t>
      </w:r>
      <w:r w:rsidR="00430A9B">
        <w:rPr>
          <w:rFonts w:ascii="Arial" w:hAnsi="Arial" w:cs="Arial"/>
          <w:color w:val="333333"/>
        </w:rPr>
        <w:t xml:space="preserve"> to assist relevant employers in completing the</w:t>
      </w:r>
      <w:r w:rsidR="00E8483F">
        <w:rPr>
          <w:rFonts w:ascii="Arial" w:hAnsi="Arial" w:cs="Arial"/>
          <w:color w:val="333333"/>
        </w:rPr>
        <w:t>ir</w:t>
      </w:r>
      <w:r w:rsidR="00430A9B">
        <w:rPr>
          <w:rFonts w:ascii="Arial" w:hAnsi="Arial" w:cs="Arial"/>
          <w:color w:val="333333"/>
        </w:rPr>
        <w:t xml:space="preserve"> profile and questionnaire. The C</w:t>
      </w:r>
      <w:r w:rsidR="009178EF">
        <w:rPr>
          <w:rFonts w:ascii="Arial" w:hAnsi="Arial" w:cs="Arial"/>
          <w:color w:val="333333"/>
        </w:rPr>
        <w:t>hief Executive Officer (CEO)</w:t>
      </w:r>
      <w:r w:rsidR="00430A9B">
        <w:rPr>
          <w:rFonts w:ascii="Arial" w:hAnsi="Arial" w:cs="Arial"/>
          <w:color w:val="333333"/>
        </w:rPr>
        <w:t xml:space="preserve"> of each relevant </w:t>
      </w:r>
      <w:r w:rsidR="00E2144A">
        <w:rPr>
          <w:rFonts w:ascii="Arial" w:hAnsi="Arial" w:cs="Arial"/>
          <w:color w:val="333333"/>
        </w:rPr>
        <w:t>employer</w:t>
      </w:r>
      <w:r w:rsidR="007B43A2">
        <w:rPr>
          <w:rFonts w:ascii="Arial" w:hAnsi="Arial" w:cs="Arial"/>
          <w:color w:val="333333"/>
        </w:rPr>
        <w:t xml:space="preserve"> </w:t>
      </w:r>
      <w:r w:rsidR="005A0369">
        <w:rPr>
          <w:rFonts w:ascii="Arial" w:hAnsi="Arial" w:cs="Arial"/>
          <w:color w:val="333333"/>
        </w:rPr>
        <w:t>is</w:t>
      </w:r>
      <w:r w:rsidR="00E2144A">
        <w:rPr>
          <w:rFonts w:ascii="Arial" w:hAnsi="Arial" w:cs="Arial"/>
          <w:color w:val="333333"/>
        </w:rPr>
        <w:t xml:space="preserve"> required </w:t>
      </w:r>
      <w:r w:rsidR="00E04BBE">
        <w:rPr>
          <w:rFonts w:ascii="Arial" w:hAnsi="Arial" w:cs="Arial"/>
          <w:color w:val="333333"/>
        </w:rPr>
        <w:t>to sign</w:t>
      </w:r>
      <w:r w:rsidR="005A0369">
        <w:rPr>
          <w:rFonts w:ascii="Arial" w:hAnsi="Arial" w:cs="Arial"/>
          <w:color w:val="333333"/>
        </w:rPr>
        <w:t xml:space="preserve"> the completed</w:t>
      </w:r>
      <w:r w:rsidR="00E04BBE">
        <w:rPr>
          <w:rFonts w:ascii="Arial" w:hAnsi="Arial" w:cs="Arial"/>
          <w:color w:val="333333"/>
        </w:rPr>
        <w:t xml:space="preserve"> </w:t>
      </w:r>
      <w:r w:rsidR="00E2144A">
        <w:rPr>
          <w:rFonts w:ascii="Arial" w:hAnsi="Arial" w:cs="Arial"/>
          <w:color w:val="333333"/>
        </w:rPr>
        <w:t>submission.</w:t>
      </w:r>
      <w:r w:rsidR="00A91745">
        <w:rPr>
          <w:rFonts w:ascii="Arial" w:hAnsi="Arial" w:cs="Arial"/>
          <w:color w:val="333333"/>
        </w:rPr>
        <w:t xml:space="preserve"> </w:t>
      </w:r>
    </w:p>
    <w:p w14:paraId="5BEC18FF" w14:textId="319F3ED8" w:rsidR="002E1DA2" w:rsidRPr="00665556" w:rsidRDefault="005A0369" w:rsidP="001375AF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WGEA’s a</w:t>
      </w:r>
      <w:r w:rsidR="00E8483F">
        <w:rPr>
          <w:rFonts w:ascii="Arial" w:hAnsi="Arial" w:cs="Arial"/>
          <w:color w:val="333333"/>
        </w:rPr>
        <w:t>utomated data quality checks te</w:t>
      </w:r>
      <w:r w:rsidR="00346080">
        <w:rPr>
          <w:rFonts w:ascii="Arial" w:hAnsi="Arial" w:cs="Arial"/>
          <w:color w:val="333333"/>
        </w:rPr>
        <w:t>st the submission</w:t>
      </w:r>
      <w:r>
        <w:rPr>
          <w:rFonts w:ascii="Arial" w:hAnsi="Arial" w:cs="Arial"/>
          <w:color w:val="333333"/>
        </w:rPr>
        <w:t xml:space="preserve"> of each employer</w:t>
      </w:r>
      <w:r w:rsidR="00E8483F">
        <w:rPr>
          <w:rFonts w:ascii="Arial" w:hAnsi="Arial" w:cs="Arial"/>
          <w:color w:val="333333"/>
        </w:rPr>
        <w:t xml:space="preserve"> for consistency</w:t>
      </w:r>
      <w:r w:rsidR="00A91745">
        <w:rPr>
          <w:rFonts w:ascii="Arial" w:hAnsi="Arial" w:cs="Arial"/>
          <w:color w:val="333333"/>
        </w:rPr>
        <w:t xml:space="preserve">. Supplementary data quality checks test the dataset for </w:t>
      </w:r>
      <w:r w:rsidR="00E8483F">
        <w:rPr>
          <w:rFonts w:ascii="Arial" w:hAnsi="Arial" w:cs="Arial"/>
          <w:color w:val="333333"/>
        </w:rPr>
        <w:t>reliability over time</w:t>
      </w:r>
      <w:r w:rsidR="00A91745">
        <w:rPr>
          <w:rFonts w:ascii="Arial" w:hAnsi="Arial" w:cs="Arial"/>
          <w:color w:val="333333"/>
        </w:rPr>
        <w:t xml:space="preserve"> and against other </w:t>
      </w:r>
      <w:r w:rsidR="00E8483F">
        <w:rPr>
          <w:rFonts w:ascii="Arial" w:hAnsi="Arial" w:cs="Arial"/>
          <w:color w:val="333333"/>
        </w:rPr>
        <w:t>data sources</w:t>
      </w:r>
      <w:r>
        <w:rPr>
          <w:rFonts w:ascii="Arial" w:hAnsi="Arial" w:cs="Arial"/>
          <w:color w:val="333333"/>
        </w:rPr>
        <w:t>, such as the ABS workforce statistics</w:t>
      </w:r>
      <w:r w:rsidR="00E8483F">
        <w:rPr>
          <w:rFonts w:ascii="Arial" w:hAnsi="Arial" w:cs="Arial"/>
          <w:color w:val="333333"/>
        </w:rPr>
        <w:t>.</w:t>
      </w:r>
    </w:p>
    <w:p w14:paraId="0B87D30B" w14:textId="77777777" w:rsidR="00EE0315" w:rsidRDefault="00EE0315" w:rsidP="00EE0315">
      <w:pPr>
        <w:rPr>
          <w:rFonts w:ascii="Arial" w:hAnsi="Arial" w:cs="Arial"/>
          <w:color w:val="333333"/>
        </w:rPr>
      </w:pPr>
      <w:r w:rsidRPr="00665556">
        <w:rPr>
          <w:rFonts w:ascii="Arial" w:hAnsi="Arial" w:cs="Arial"/>
          <w:color w:val="333333"/>
        </w:rPr>
        <w:t xml:space="preserve">The Agency will notify the relevant employer if </w:t>
      </w:r>
      <w:hyperlink r:id="rId11" w:history="1">
        <w:r w:rsidR="005A0369" w:rsidRPr="005A0369">
          <w:rPr>
            <w:rStyle w:val="Hyperlink"/>
            <w:rFonts w:ascii="Arial" w:hAnsi="Arial" w:cs="Arial"/>
          </w:rPr>
          <w:t xml:space="preserve">data </w:t>
        </w:r>
        <w:r w:rsidRPr="005A0369">
          <w:rPr>
            <w:rStyle w:val="Hyperlink"/>
            <w:rFonts w:ascii="Arial" w:hAnsi="Arial" w:cs="Arial"/>
          </w:rPr>
          <w:t>anomalies</w:t>
        </w:r>
      </w:hyperlink>
      <w:r w:rsidRPr="00665556">
        <w:rPr>
          <w:rFonts w:ascii="Arial" w:hAnsi="Arial" w:cs="Arial"/>
          <w:color w:val="333333"/>
        </w:rPr>
        <w:t xml:space="preserve"> are detected in their submission. The relevant employer has 28 days to review and amend the anomalies. </w:t>
      </w:r>
      <w:r w:rsidR="00A91745">
        <w:rPr>
          <w:rFonts w:ascii="Arial" w:hAnsi="Arial" w:cs="Arial"/>
          <w:color w:val="333333"/>
        </w:rPr>
        <w:t>Relevant employers that have not resolved their anomalies by the operational cut-off date are excluded from the dataset.</w:t>
      </w:r>
    </w:p>
    <w:p w14:paraId="74B80FC1" w14:textId="77777777" w:rsidR="00690523" w:rsidRPr="00FD607F" w:rsidRDefault="00E04BBE" w:rsidP="001375AF">
      <w:pPr>
        <w:rPr>
          <w:rFonts w:ascii="Arial" w:eastAsia="Times New Roman" w:hAnsi="Arial" w:cs="Arial"/>
          <w:color w:val="333333"/>
          <w:lang w:eastAsia="en-AU"/>
        </w:rPr>
      </w:pPr>
      <w:r>
        <w:rPr>
          <w:rFonts w:ascii="Arial" w:eastAsia="Times New Roman" w:hAnsi="Arial" w:cs="Arial"/>
          <w:color w:val="333333"/>
          <w:lang w:eastAsia="en-AU"/>
        </w:rPr>
        <w:t>Refer to the Data Quality</w:t>
      </w:r>
      <w:r w:rsidR="007B66EC">
        <w:rPr>
          <w:rFonts w:ascii="Arial" w:eastAsia="Times New Roman" w:hAnsi="Arial" w:cs="Arial"/>
          <w:color w:val="333333"/>
          <w:lang w:eastAsia="en-AU"/>
        </w:rPr>
        <w:t xml:space="preserve"> Report &lt;link this to site&gt; for</w:t>
      </w:r>
      <w:r w:rsidR="00FD607F">
        <w:rPr>
          <w:rFonts w:ascii="Arial" w:eastAsia="Times New Roman" w:hAnsi="Arial" w:cs="Arial"/>
          <w:color w:val="333333"/>
          <w:lang w:eastAsia="en-AU"/>
        </w:rPr>
        <w:t xml:space="preserve"> information regarding the data </w:t>
      </w:r>
      <w:r w:rsidR="006D20B5">
        <w:rPr>
          <w:rFonts w:ascii="Arial" w:eastAsia="Times New Roman" w:hAnsi="Arial" w:cs="Arial"/>
          <w:color w:val="333333"/>
          <w:lang w:eastAsia="en-AU"/>
        </w:rPr>
        <w:t>collection</w:t>
      </w:r>
      <w:r w:rsidR="00FD607F">
        <w:rPr>
          <w:rFonts w:ascii="Arial" w:eastAsia="Times New Roman" w:hAnsi="Arial" w:cs="Arial"/>
          <w:color w:val="333333"/>
          <w:lang w:eastAsia="en-AU"/>
        </w:rPr>
        <w:t xml:space="preserve"> process, data coverage and limitations for a</w:t>
      </w:r>
      <w:r>
        <w:rPr>
          <w:rFonts w:ascii="Arial" w:eastAsia="Times New Roman" w:hAnsi="Arial" w:cs="Arial"/>
          <w:color w:val="333333"/>
          <w:lang w:eastAsia="en-AU"/>
        </w:rPr>
        <w:t xml:space="preserve"> specific reporting year.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0"/>
      </w:tblGrid>
      <w:tr w:rsidR="00690523" w:rsidRPr="00690523" w14:paraId="0EB46F13" w14:textId="77777777" w:rsidTr="00A91745">
        <w:trPr>
          <w:tblCellSpacing w:w="0" w:type="dxa"/>
        </w:trPr>
        <w:tc>
          <w:tcPr>
            <w:tcW w:w="1956" w:type="dxa"/>
            <w:shd w:val="clear" w:color="auto" w:fill="FFFFFF"/>
            <w:vAlign w:val="center"/>
          </w:tcPr>
          <w:p w14:paraId="5441593F" w14:textId="77777777" w:rsidR="00690523" w:rsidRPr="00690523" w:rsidRDefault="00690523" w:rsidP="00346080">
            <w:pPr>
              <w:rPr>
                <w:rFonts w:ascii="Verdana" w:eastAsia="Times New Roman" w:hAnsi="Verdana" w:cs="Arial"/>
                <w:color w:val="0000FF"/>
                <w:sz w:val="18"/>
                <w:szCs w:val="18"/>
                <w:lang w:eastAsia="en-A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14:paraId="6A09A2B8" w14:textId="77777777" w:rsidR="00690523" w:rsidRPr="00690523" w:rsidRDefault="00690523" w:rsidP="0069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B15D38A" w14:textId="77777777" w:rsidR="00576573" w:rsidRDefault="001375AF" w:rsidP="009941D1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COHERENCE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 w:rsidR="009941D1">
        <w:rPr>
          <w:rFonts w:ascii="Arial" w:hAnsi="Arial" w:cs="Arial"/>
          <w:color w:val="333333"/>
        </w:rPr>
        <w:t xml:space="preserve">The Agency </w:t>
      </w:r>
      <w:r w:rsidR="00576573">
        <w:rPr>
          <w:rFonts w:ascii="Arial" w:hAnsi="Arial" w:cs="Arial"/>
          <w:color w:val="333333"/>
        </w:rPr>
        <w:t>has collected data in a standardised workforce profile and questionnaire format since the 2013 – 14 reporting period.</w:t>
      </w:r>
    </w:p>
    <w:p w14:paraId="4F613258" w14:textId="77777777" w:rsidR="00AA7E3F" w:rsidRDefault="005F43B4" w:rsidP="009941D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</w:t>
      </w:r>
      <w:r w:rsidR="00B865FB">
        <w:rPr>
          <w:rFonts w:ascii="Arial" w:hAnsi="Arial" w:cs="Arial"/>
          <w:color w:val="333333"/>
        </w:rPr>
        <w:t>he workforce profile and questionnaire</w:t>
      </w:r>
      <w:r>
        <w:rPr>
          <w:rFonts w:ascii="Arial" w:hAnsi="Arial" w:cs="Arial"/>
          <w:color w:val="333333"/>
        </w:rPr>
        <w:t xml:space="preserve"> may be amended</w:t>
      </w:r>
      <w:r w:rsidR="00B865F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to comply with</w:t>
      </w:r>
      <w:r w:rsidR="00B865FB">
        <w:rPr>
          <w:rFonts w:ascii="Arial" w:hAnsi="Arial" w:cs="Arial"/>
          <w:color w:val="333333"/>
        </w:rPr>
        <w:t xml:space="preserve"> legi</w:t>
      </w:r>
      <w:r w:rsidR="005F49FC">
        <w:rPr>
          <w:rFonts w:ascii="Arial" w:hAnsi="Arial" w:cs="Arial"/>
          <w:color w:val="333333"/>
        </w:rPr>
        <w:t>slative instruments or to capture gender equity matters that are of significance to the wider community.</w:t>
      </w:r>
    </w:p>
    <w:p w14:paraId="5ED5324F" w14:textId="77777777" w:rsidR="004A7698" w:rsidRDefault="005F43B4" w:rsidP="009941D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Previous amendments to the workforce profile and questionnaire have included changes to data item </w:t>
      </w:r>
      <w:r w:rsidR="004A7698">
        <w:rPr>
          <w:rFonts w:ascii="Arial" w:hAnsi="Arial" w:cs="Arial"/>
          <w:color w:val="333333"/>
        </w:rPr>
        <w:t>definitions</w:t>
      </w:r>
      <w:r>
        <w:rPr>
          <w:rFonts w:ascii="Arial" w:hAnsi="Arial" w:cs="Arial"/>
          <w:color w:val="333333"/>
        </w:rPr>
        <w:t xml:space="preserve"> and </w:t>
      </w:r>
      <w:r w:rsidR="004A7698">
        <w:rPr>
          <w:rFonts w:ascii="Arial" w:hAnsi="Arial" w:cs="Arial"/>
          <w:color w:val="333333"/>
        </w:rPr>
        <w:t xml:space="preserve">classifications. The Agency notes amendments and its impact on trend statistics in its publications. </w:t>
      </w:r>
      <w:r w:rsidR="002F57DB">
        <w:rPr>
          <w:rFonts w:ascii="Arial" w:hAnsi="Arial" w:cs="Arial"/>
          <w:color w:val="333333"/>
        </w:rPr>
        <w:t>Changes are further d</w:t>
      </w:r>
      <w:r w:rsidR="007B66EC">
        <w:rPr>
          <w:rFonts w:ascii="Arial" w:hAnsi="Arial" w:cs="Arial"/>
          <w:color w:val="333333"/>
        </w:rPr>
        <w:t xml:space="preserve">etailed in the </w:t>
      </w:r>
      <w:hyperlink r:id="rId12" w:history="1">
        <w:r w:rsidR="007B66EC" w:rsidRPr="007B66EC">
          <w:rPr>
            <w:rStyle w:val="Hyperlink"/>
            <w:rFonts w:ascii="Arial" w:hAnsi="Arial" w:cs="Arial"/>
          </w:rPr>
          <w:t>reference guide</w:t>
        </w:r>
      </w:hyperlink>
      <w:r w:rsidR="007B66EC">
        <w:rPr>
          <w:rFonts w:ascii="Arial" w:hAnsi="Arial" w:cs="Arial"/>
          <w:color w:val="333333"/>
        </w:rPr>
        <w:t>.</w:t>
      </w:r>
    </w:p>
    <w:p w14:paraId="33F7E075" w14:textId="77777777" w:rsidR="00B7619D" w:rsidRDefault="00B7619D" w:rsidP="009941D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Agency </w:t>
      </w:r>
      <w:r w:rsidR="009178EF">
        <w:rPr>
          <w:rFonts w:ascii="Arial" w:hAnsi="Arial" w:cs="Arial"/>
          <w:color w:val="333333"/>
        </w:rPr>
        <w:t>may use</w:t>
      </w:r>
      <w:r>
        <w:rPr>
          <w:rFonts w:ascii="Arial" w:hAnsi="Arial" w:cs="Arial"/>
          <w:color w:val="333333"/>
        </w:rPr>
        <w:t xml:space="preserve"> the </w:t>
      </w:r>
      <w:r w:rsidRPr="00B7619D">
        <w:rPr>
          <w:rFonts w:ascii="Arial" w:hAnsi="Arial" w:cs="Arial"/>
          <w:color w:val="333333"/>
        </w:rPr>
        <w:t>Austral</w:t>
      </w:r>
      <w:r>
        <w:rPr>
          <w:rFonts w:ascii="Arial" w:hAnsi="Arial" w:cs="Arial"/>
          <w:color w:val="333333"/>
        </w:rPr>
        <w:t>ian Bureau of Statistics (ABS) full-time adult average weekly ordinary time earnings trend series from the A</w:t>
      </w:r>
      <w:r w:rsidRPr="00B7619D">
        <w:rPr>
          <w:rFonts w:ascii="Arial" w:hAnsi="Arial" w:cs="Arial"/>
          <w:color w:val="333333"/>
        </w:rPr>
        <w:t>ustralian Weekly Earnings (AWE) survey</w:t>
      </w:r>
      <w:r>
        <w:rPr>
          <w:rFonts w:ascii="Arial" w:hAnsi="Arial" w:cs="Arial"/>
          <w:color w:val="333333"/>
        </w:rPr>
        <w:t xml:space="preserve"> to calculate the gender pay gap</w:t>
      </w:r>
      <w:r w:rsidR="009178EF">
        <w:rPr>
          <w:rFonts w:ascii="Arial" w:hAnsi="Arial" w:cs="Arial"/>
          <w:color w:val="333333"/>
        </w:rPr>
        <w:t xml:space="preserve"> on a biannual basis.</w:t>
      </w:r>
    </w:p>
    <w:p w14:paraId="476AC796" w14:textId="77777777" w:rsidR="00576573" w:rsidRDefault="00B7619D" w:rsidP="009941D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main difference between the ABS and the Agency data are:</w:t>
      </w:r>
    </w:p>
    <w:p w14:paraId="6677B296" w14:textId="77777777" w:rsidR="00B7619D" w:rsidRDefault="00B7619D" w:rsidP="00B7619D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ABS data reflects weekly ordinary time earnings before tax</w:t>
      </w:r>
      <w:r w:rsidR="00881258">
        <w:rPr>
          <w:rFonts w:ascii="Arial" w:hAnsi="Arial" w:cs="Arial"/>
          <w:color w:val="333333"/>
        </w:rPr>
        <w:t>.</w:t>
      </w:r>
    </w:p>
    <w:p w14:paraId="190B1051" w14:textId="77777777" w:rsidR="00B7619D" w:rsidRDefault="00B7619D" w:rsidP="00B7619D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ABS data does not include overtime,</w:t>
      </w:r>
      <w:r w:rsidR="009178EF">
        <w:rPr>
          <w:rFonts w:ascii="Arial" w:hAnsi="Arial" w:cs="Arial"/>
          <w:color w:val="333333"/>
        </w:rPr>
        <w:t xml:space="preserve"> bonuses, superannuation,</w:t>
      </w:r>
      <w:r>
        <w:rPr>
          <w:rFonts w:ascii="Arial" w:hAnsi="Arial" w:cs="Arial"/>
          <w:color w:val="333333"/>
        </w:rPr>
        <w:t xml:space="preserve"> </w:t>
      </w:r>
      <w:r w:rsidRPr="00B7619D">
        <w:rPr>
          <w:rFonts w:ascii="Arial" w:hAnsi="Arial" w:cs="Arial"/>
          <w:color w:val="333333"/>
        </w:rPr>
        <w:t>junior and part-time employees</w:t>
      </w:r>
      <w:r w:rsidR="009178EF">
        <w:rPr>
          <w:rFonts w:ascii="Arial" w:hAnsi="Arial" w:cs="Arial"/>
          <w:color w:val="333333"/>
        </w:rPr>
        <w:t>, and has historically excluded salary sacrificed amounts.</w:t>
      </w:r>
    </w:p>
    <w:p w14:paraId="587DB583" w14:textId="77777777" w:rsidR="009178EF" w:rsidRDefault="009178EF" w:rsidP="00875268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</w:t>
      </w:r>
      <w:r w:rsidR="00875268">
        <w:rPr>
          <w:rFonts w:ascii="Arial" w:hAnsi="Arial" w:cs="Arial"/>
          <w:color w:val="333333"/>
        </w:rPr>
        <w:t xml:space="preserve">reference period for the ABS data is the </w:t>
      </w:r>
      <w:r w:rsidR="00875268" w:rsidRPr="00875268">
        <w:rPr>
          <w:rFonts w:ascii="Arial" w:hAnsi="Arial" w:cs="Arial"/>
          <w:color w:val="333333"/>
        </w:rPr>
        <w:t>last pay period ending on or before the third Friday of the middle month of the reference quarte</w:t>
      </w:r>
      <w:r w:rsidR="00875268">
        <w:rPr>
          <w:rFonts w:ascii="Arial" w:hAnsi="Arial" w:cs="Arial"/>
          <w:color w:val="333333"/>
        </w:rPr>
        <w:t>r. For fortnightly and monthly pay periods, the employer reports only one week’s proportion.</w:t>
      </w:r>
    </w:p>
    <w:p w14:paraId="69A9445E" w14:textId="77777777" w:rsidR="00875268" w:rsidRDefault="00875268" w:rsidP="00875268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ABS data is a sample survey of employers selected from the </w:t>
      </w:r>
      <w:r w:rsidRPr="00875268">
        <w:rPr>
          <w:rFonts w:ascii="Arial" w:hAnsi="Arial" w:cs="Arial"/>
          <w:color w:val="333333"/>
        </w:rPr>
        <w:t>ABS Business Register (ABSBR) which is primarily based on registrations to the Australian Taxation Office (ATO) Pay As You Go Withholding (PAYGW) scheme</w:t>
      </w:r>
      <w:r w:rsidR="00881258">
        <w:rPr>
          <w:rFonts w:ascii="Arial" w:hAnsi="Arial" w:cs="Arial"/>
          <w:color w:val="333333"/>
        </w:rPr>
        <w:t>.</w:t>
      </w:r>
    </w:p>
    <w:p w14:paraId="1DB0CBED" w14:textId="77777777" w:rsidR="00881258" w:rsidRPr="007B43A2" w:rsidRDefault="00881258" w:rsidP="00881258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</w:rPr>
      </w:pPr>
      <w:r w:rsidRPr="00881258">
        <w:rPr>
          <w:rFonts w:ascii="Arial" w:hAnsi="Arial" w:cs="Arial"/>
          <w:color w:val="333333"/>
        </w:rPr>
        <w:t xml:space="preserve">The Agency’s own data collection </w:t>
      </w:r>
      <w:r w:rsidRPr="00881258">
        <w:rPr>
          <w:rFonts w:ascii="Arial" w:hAnsi="Arial" w:cs="Arial"/>
          <w:b/>
          <w:color w:val="333333"/>
        </w:rPr>
        <w:t>is a census</w:t>
      </w:r>
      <w:r w:rsidRPr="00881258">
        <w:rPr>
          <w:rFonts w:ascii="Arial" w:hAnsi="Arial" w:cs="Arial"/>
          <w:color w:val="333333"/>
        </w:rPr>
        <w:t xml:space="preserve"> rather than a survey. </w:t>
      </w:r>
      <w:r w:rsidRPr="007B43A2">
        <w:rPr>
          <w:rFonts w:ascii="Arial" w:hAnsi="Arial" w:cs="Arial"/>
          <w:color w:val="333333"/>
        </w:rPr>
        <w:t>A census collects data about every me</w:t>
      </w:r>
      <w:r w:rsidR="007B43A2" w:rsidRPr="007B43A2">
        <w:rPr>
          <w:rFonts w:ascii="Arial" w:hAnsi="Arial" w:cs="Arial"/>
          <w:color w:val="333333"/>
        </w:rPr>
        <w:t>mber of the working population</w:t>
      </w:r>
      <w:r w:rsidRPr="007B43A2">
        <w:rPr>
          <w:rFonts w:ascii="Arial" w:hAnsi="Arial" w:cs="Arial"/>
          <w:color w:val="333333"/>
        </w:rPr>
        <w:t xml:space="preserve">. </w:t>
      </w:r>
    </w:p>
    <w:p w14:paraId="228C0DA7" w14:textId="77777777" w:rsidR="00B96E17" w:rsidRPr="006D20B5" w:rsidRDefault="006D20B5" w:rsidP="006D20B5">
      <w:pPr>
        <w:rPr>
          <w:rFonts w:ascii="Arial" w:eastAsia="Times New Roman" w:hAnsi="Arial" w:cs="Arial"/>
          <w:color w:val="333333"/>
          <w:lang w:eastAsia="en-AU"/>
        </w:rPr>
      </w:pPr>
      <w:r w:rsidRPr="006D20B5">
        <w:rPr>
          <w:rFonts w:ascii="Arial" w:eastAsia="Times New Roman" w:hAnsi="Arial" w:cs="Arial"/>
          <w:color w:val="333333"/>
          <w:lang w:eastAsia="en-AU"/>
        </w:rPr>
        <w:t xml:space="preserve">Refer to the Data Quality Report &lt;link this to site&gt; for </w:t>
      </w:r>
      <w:r w:rsidR="007B66EC">
        <w:rPr>
          <w:rFonts w:ascii="Arial" w:eastAsia="Times New Roman" w:hAnsi="Arial" w:cs="Arial"/>
          <w:color w:val="333333"/>
          <w:lang w:eastAsia="en-AU"/>
        </w:rPr>
        <w:t xml:space="preserve">information regarding </w:t>
      </w:r>
      <w:r w:rsidR="00B96E17">
        <w:rPr>
          <w:rFonts w:ascii="Arial" w:eastAsia="Times New Roman" w:hAnsi="Arial" w:cs="Arial"/>
          <w:color w:val="333333"/>
          <w:lang w:eastAsia="en-AU"/>
        </w:rPr>
        <w:t>longitudinal consistency.</w:t>
      </w:r>
    </w:p>
    <w:p w14:paraId="71F48F3D" w14:textId="77777777" w:rsidR="006D20B5" w:rsidRDefault="006D20B5" w:rsidP="001375AF">
      <w:pPr>
        <w:rPr>
          <w:rFonts w:ascii="Arial" w:hAnsi="Arial" w:cs="Arial"/>
          <w:color w:val="333333"/>
          <w:shd w:val="clear" w:color="auto" w:fill="FFFFFF"/>
        </w:rPr>
      </w:pPr>
    </w:p>
    <w:p w14:paraId="4E28139E" w14:textId="77777777" w:rsidR="00F54B57" w:rsidRDefault="00F54B57" w:rsidP="001375AF">
      <w:pPr>
        <w:rPr>
          <w:rFonts w:ascii="Arial" w:hAnsi="Arial" w:cs="Arial"/>
          <w:color w:val="333333"/>
          <w:shd w:val="clear" w:color="auto" w:fill="FFFFFF"/>
        </w:rPr>
      </w:pPr>
    </w:p>
    <w:p w14:paraId="728562FF" w14:textId="77777777" w:rsidR="00F54B57" w:rsidRDefault="00F54B57" w:rsidP="001375AF">
      <w:pPr>
        <w:rPr>
          <w:rFonts w:ascii="Arial" w:hAnsi="Arial" w:cs="Arial"/>
          <w:color w:val="333333"/>
          <w:shd w:val="clear" w:color="auto" w:fill="FFFFFF"/>
        </w:rPr>
      </w:pPr>
    </w:p>
    <w:p w14:paraId="0233BF3C" w14:textId="77777777" w:rsidR="00673C31" w:rsidRDefault="001375AF" w:rsidP="001375AF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INTERPRETABILITY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 w:rsidR="007B66EC">
        <w:rPr>
          <w:rFonts w:ascii="Arial" w:hAnsi="Arial" w:cs="Arial"/>
          <w:color w:val="333333"/>
        </w:rPr>
        <w:t xml:space="preserve">The </w:t>
      </w:r>
      <w:hyperlink r:id="rId13" w:history="1">
        <w:r w:rsidR="007B66EC" w:rsidRPr="007B66EC">
          <w:rPr>
            <w:rStyle w:val="Hyperlink"/>
            <w:rFonts w:ascii="Arial" w:hAnsi="Arial" w:cs="Arial"/>
          </w:rPr>
          <w:t>reference guide</w:t>
        </w:r>
      </w:hyperlink>
      <w:r w:rsidR="007B66EC">
        <w:rPr>
          <w:rFonts w:ascii="Arial" w:hAnsi="Arial" w:cs="Arial"/>
          <w:color w:val="333333"/>
        </w:rPr>
        <w:t xml:space="preserve"> describes the data requirements and </w:t>
      </w:r>
      <w:r w:rsidR="00673C31">
        <w:rPr>
          <w:rFonts w:ascii="Arial" w:hAnsi="Arial" w:cs="Arial"/>
          <w:color w:val="333333"/>
        </w:rPr>
        <w:t>definitions for the reporting year.</w:t>
      </w:r>
    </w:p>
    <w:p w14:paraId="163C182C" w14:textId="77777777" w:rsidR="00F54B57" w:rsidRDefault="00DF0A16" w:rsidP="00063B23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</w:rPr>
        <w:t xml:space="preserve">The </w:t>
      </w:r>
      <w:r w:rsidR="00F54B57" w:rsidRPr="00F54B57">
        <w:rPr>
          <w:rFonts w:ascii="Arial" w:hAnsi="Arial" w:cs="Arial"/>
          <w:color w:val="333333"/>
        </w:rPr>
        <w:t xml:space="preserve">definitions page &lt;link to the definitions page&gt; </w:t>
      </w:r>
      <w:r w:rsidR="00F54B57">
        <w:rPr>
          <w:rFonts w:ascii="Arial" w:hAnsi="Arial" w:cs="Arial"/>
          <w:color w:val="333333"/>
        </w:rPr>
        <w:t xml:space="preserve">and the </w:t>
      </w:r>
      <w:hyperlink r:id="rId14" w:history="1">
        <w:r w:rsidRPr="00731257">
          <w:rPr>
            <w:rStyle w:val="Hyperlink"/>
            <w:rFonts w:ascii="Arial" w:hAnsi="Arial" w:cs="Arial"/>
          </w:rPr>
          <w:t xml:space="preserve">competitor analysis benchmark report technical user </w:t>
        </w:r>
        <w:r w:rsidR="005B6E8B" w:rsidRPr="00731257">
          <w:rPr>
            <w:rStyle w:val="Hyperlink"/>
            <w:rFonts w:ascii="Arial" w:hAnsi="Arial" w:cs="Arial"/>
          </w:rPr>
          <w:t>manual</w:t>
        </w:r>
      </w:hyperlink>
      <w:r w:rsidR="00673C31">
        <w:rPr>
          <w:rFonts w:ascii="Arial" w:hAnsi="Arial" w:cs="Arial"/>
          <w:color w:val="333333"/>
        </w:rPr>
        <w:t xml:space="preserve"> </w:t>
      </w:r>
      <w:r w:rsidR="007B66EC">
        <w:rPr>
          <w:rFonts w:ascii="Arial" w:hAnsi="Arial" w:cs="Arial"/>
          <w:color w:val="333333"/>
        </w:rPr>
        <w:t xml:space="preserve">describes </w:t>
      </w:r>
      <w:r w:rsidR="005B6E8B">
        <w:rPr>
          <w:rFonts w:ascii="Arial" w:hAnsi="Arial" w:cs="Arial"/>
          <w:color w:val="333333"/>
        </w:rPr>
        <w:t>the concepts</w:t>
      </w:r>
      <w:r w:rsidR="00E274A9">
        <w:rPr>
          <w:rFonts w:ascii="Arial" w:hAnsi="Arial" w:cs="Arial"/>
          <w:color w:val="333333"/>
        </w:rPr>
        <w:t xml:space="preserve"> and terminology used by the Agency </w:t>
      </w:r>
      <w:r w:rsidR="00731257">
        <w:rPr>
          <w:rFonts w:ascii="Arial" w:hAnsi="Arial" w:cs="Arial"/>
          <w:color w:val="333333"/>
        </w:rPr>
        <w:t>in its publications.</w:t>
      </w:r>
      <w:r w:rsidR="001375AF">
        <w:rPr>
          <w:rFonts w:ascii="Arial" w:hAnsi="Arial" w:cs="Arial"/>
          <w:color w:val="333333"/>
        </w:rPr>
        <w:br/>
      </w:r>
    </w:p>
    <w:p w14:paraId="1A780C62" w14:textId="77777777" w:rsidR="005B6E8B" w:rsidRDefault="001375AF" w:rsidP="00063B23">
      <w:pPr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ACCESSIBILITY</w:t>
      </w:r>
    </w:p>
    <w:p w14:paraId="0A7FBF28" w14:textId="77777777" w:rsidR="005B6E8B" w:rsidRDefault="005B6E8B" w:rsidP="005B6E8B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data is available </w:t>
      </w:r>
      <w:r w:rsidR="000A5203">
        <w:rPr>
          <w:rFonts w:ascii="Arial" w:hAnsi="Arial" w:cs="Arial"/>
          <w:color w:val="333333"/>
        </w:rPr>
        <w:t xml:space="preserve">on the </w:t>
      </w:r>
      <w:hyperlink r:id="rId15" w:history="1">
        <w:r w:rsidR="00731257" w:rsidRPr="00731257">
          <w:rPr>
            <w:rStyle w:val="Hyperlink"/>
            <w:rFonts w:ascii="Arial" w:hAnsi="Arial" w:cs="Arial"/>
          </w:rPr>
          <w:t>Data Explorer</w:t>
        </w:r>
      </w:hyperlink>
      <w:r w:rsidR="00731257">
        <w:rPr>
          <w:rFonts w:ascii="Arial" w:hAnsi="Arial" w:cs="Arial"/>
          <w:color w:val="333333"/>
        </w:rPr>
        <w:t xml:space="preserve">. </w:t>
      </w:r>
      <w:r w:rsidR="00F92E2F">
        <w:rPr>
          <w:rFonts w:ascii="Arial" w:hAnsi="Arial" w:cs="Arial"/>
          <w:color w:val="333333"/>
        </w:rPr>
        <w:t xml:space="preserve">The Data Explorer </w:t>
      </w:r>
      <w:r w:rsidR="00497AB1">
        <w:rPr>
          <w:rFonts w:ascii="Arial" w:hAnsi="Arial" w:cs="Arial"/>
          <w:color w:val="333333"/>
        </w:rPr>
        <w:t>provides an</w:t>
      </w:r>
      <w:r w:rsidR="00F92E2F">
        <w:rPr>
          <w:rFonts w:ascii="Arial" w:hAnsi="Arial" w:cs="Arial"/>
          <w:color w:val="333333"/>
        </w:rPr>
        <w:t xml:space="preserve"> interactive, </w:t>
      </w:r>
      <w:r w:rsidR="00497AB1">
        <w:rPr>
          <w:rFonts w:ascii="Arial" w:hAnsi="Arial" w:cs="Arial"/>
          <w:color w:val="333333"/>
        </w:rPr>
        <w:t>online visualisation of key statistics and trends</w:t>
      </w:r>
      <w:r w:rsidR="00F92E2F">
        <w:rPr>
          <w:rFonts w:ascii="Arial" w:hAnsi="Arial" w:cs="Arial"/>
          <w:color w:val="333333"/>
        </w:rPr>
        <w:t>. Users can download the data in excel format on the site.</w:t>
      </w:r>
    </w:p>
    <w:p w14:paraId="61D513CE" w14:textId="77777777" w:rsidR="000A5203" w:rsidRDefault="000A5203" w:rsidP="005B6E8B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Relevant employers that are included in </w:t>
      </w:r>
      <w:r w:rsidR="00F92E2F">
        <w:rPr>
          <w:rFonts w:ascii="Arial" w:hAnsi="Arial" w:cs="Arial"/>
          <w:color w:val="333333"/>
        </w:rPr>
        <w:t>the dataset receive a competitor analysis benchmark report for the reporting year. The relevant employer can acce</w:t>
      </w:r>
      <w:r w:rsidR="00731257">
        <w:rPr>
          <w:rFonts w:ascii="Arial" w:hAnsi="Arial" w:cs="Arial"/>
          <w:color w:val="333333"/>
        </w:rPr>
        <w:t>ss the pdf report in a secure</w:t>
      </w:r>
      <w:r w:rsidR="00F92E2F">
        <w:rPr>
          <w:rFonts w:ascii="Arial" w:hAnsi="Arial" w:cs="Arial"/>
          <w:color w:val="333333"/>
        </w:rPr>
        <w:t xml:space="preserve"> online portal.</w:t>
      </w:r>
    </w:p>
    <w:p w14:paraId="4665C178" w14:textId="77777777" w:rsidR="005E7454" w:rsidRDefault="005E7454" w:rsidP="005E7454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Datasets are available in excel format on </w:t>
      </w:r>
      <w:hyperlink r:id="rId16" w:history="1">
        <w:r w:rsidRPr="00731257">
          <w:rPr>
            <w:rStyle w:val="Hyperlink"/>
            <w:rFonts w:ascii="Arial" w:hAnsi="Arial" w:cs="Arial"/>
          </w:rPr>
          <w:t>data.gov.au</w:t>
        </w:r>
      </w:hyperlink>
      <w:r>
        <w:rPr>
          <w:rFonts w:ascii="Arial" w:hAnsi="Arial" w:cs="Arial"/>
          <w:color w:val="333333"/>
        </w:rPr>
        <w:t xml:space="preserve"> </w:t>
      </w:r>
    </w:p>
    <w:p w14:paraId="48BBE731" w14:textId="34263CFD" w:rsidR="00F92E2F" w:rsidRDefault="005E7454" w:rsidP="005B6E8B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All reports</w:t>
      </w:r>
      <w:r w:rsidR="00F92E2F">
        <w:rPr>
          <w:rFonts w:ascii="Arial" w:hAnsi="Arial" w:cs="Arial"/>
          <w:color w:val="333333"/>
        </w:rPr>
        <w:t xml:space="preserve"> submitted by relevant employers, including those that completed their submissions or resolved their data anomalies after the operational cut-off date, are available on the </w:t>
      </w:r>
      <w:hyperlink r:id="rId17" w:history="1">
        <w:r w:rsidR="00F92E2F" w:rsidRPr="00E34EFC">
          <w:rPr>
            <w:rStyle w:val="Hyperlink"/>
            <w:rFonts w:ascii="Arial" w:hAnsi="Arial" w:cs="Arial"/>
          </w:rPr>
          <w:t>Public Reports page</w:t>
        </w:r>
      </w:hyperlink>
      <w:r w:rsidR="00055CE0">
        <w:rPr>
          <w:rFonts w:ascii="Arial" w:hAnsi="Arial" w:cs="Arial"/>
          <w:color w:val="333333"/>
        </w:rPr>
        <w:t>.</w:t>
      </w:r>
    </w:p>
    <w:p w14:paraId="6BA13165" w14:textId="453AAD39" w:rsidR="00497AB1" w:rsidRDefault="00497AB1" w:rsidP="005B6E8B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Users can request customised </w:t>
      </w:r>
      <w:r w:rsidR="005E7454">
        <w:rPr>
          <w:rFonts w:ascii="Arial" w:hAnsi="Arial" w:cs="Arial"/>
          <w:color w:val="333333"/>
        </w:rPr>
        <w:t>versions of the da</w:t>
      </w:r>
      <w:r w:rsidR="00121D66">
        <w:rPr>
          <w:rFonts w:ascii="Arial" w:hAnsi="Arial" w:cs="Arial"/>
          <w:color w:val="333333"/>
        </w:rPr>
        <w:t xml:space="preserve">taset by sending a </w:t>
      </w:r>
      <w:hyperlink r:id="rId18" w:history="1">
        <w:r w:rsidR="00121D66" w:rsidRPr="00121D66">
          <w:rPr>
            <w:rStyle w:val="Hyperlink"/>
            <w:rFonts w:ascii="Arial" w:hAnsi="Arial" w:cs="Arial"/>
          </w:rPr>
          <w:t>request form</w:t>
        </w:r>
      </w:hyperlink>
      <w:r w:rsidR="00055CE0">
        <w:rPr>
          <w:rStyle w:val="Hyperlink"/>
          <w:rFonts w:ascii="Arial" w:hAnsi="Arial" w:cs="Arial"/>
        </w:rPr>
        <w:t>.</w:t>
      </w:r>
    </w:p>
    <w:bookmarkEnd w:id="0"/>
    <w:p w14:paraId="21F0CD6E" w14:textId="77777777" w:rsidR="00497AB1" w:rsidRDefault="00497AB1" w:rsidP="005B6E8B">
      <w:pPr>
        <w:rPr>
          <w:rFonts w:ascii="Arial" w:hAnsi="Arial" w:cs="Arial"/>
          <w:color w:val="333333"/>
        </w:rPr>
      </w:pPr>
    </w:p>
    <w:p w14:paraId="2E05B16E" w14:textId="77777777" w:rsidR="00F92E2F" w:rsidRDefault="00F92E2F" w:rsidP="005B6E8B">
      <w:pPr>
        <w:rPr>
          <w:rFonts w:ascii="Arial" w:hAnsi="Arial" w:cs="Arial"/>
          <w:color w:val="333333"/>
        </w:rPr>
      </w:pPr>
    </w:p>
    <w:p w14:paraId="2B7492D8" w14:textId="77777777" w:rsidR="000A5203" w:rsidRDefault="000A5203" w:rsidP="005B6E8B">
      <w:pPr>
        <w:rPr>
          <w:rFonts w:ascii="Arial" w:hAnsi="Arial" w:cs="Arial"/>
          <w:color w:val="333333"/>
        </w:rPr>
      </w:pPr>
    </w:p>
    <w:p w14:paraId="32321FB1" w14:textId="77777777" w:rsidR="005B6E8B" w:rsidRDefault="005B6E8B" w:rsidP="00063B23">
      <w:pPr>
        <w:rPr>
          <w:rFonts w:ascii="Arial" w:hAnsi="Arial" w:cs="Arial"/>
          <w:b/>
          <w:color w:val="333333"/>
        </w:rPr>
      </w:pPr>
    </w:p>
    <w:p w14:paraId="47F69E1F" w14:textId="77777777" w:rsidR="003571B6" w:rsidRDefault="003571B6" w:rsidP="001375AF">
      <w:pPr>
        <w:rPr>
          <w:rFonts w:ascii="Arial" w:hAnsi="Arial" w:cs="Arial"/>
          <w:i/>
          <w:color w:val="333333"/>
          <w:shd w:val="clear" w:color="auto" w:fill="FFFFFF"/>
        </w:rPr>
      </w:pPr>
    </w:p>
    <w:p w14:paraId="5B1CD66A" w14:textId="77777777" w:rsidR="00B3026E" w:rsidRPr="003571B6" w:rsidRDefault="00B3026E" w:rsidP="001375AF"/>
    <w:sectPr w:rsidR="00B3026E" w:rsidRPr="00357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530"/>
    <w:multiLevelType w:val="multilevel"/>
    <w:tmpl w:val="450AF5D8"/>
    <w:styleLink w:val="Numberedlist"/>
    <w:lvl w:ilvl="0">
      <w:start w:val="1"/>
      <w:numFmt w:val="decimal"/>
      <w:pStyle w:val="Numberedlist1stinden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edlist2nd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Numberedlist3rdindent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" w15:restartNumberingAfterBreak="0">
    <w:nsid w:val="1D5C0077"/>
    <w:multiLevelType w:val="hybridMultilevel"/>
    <w:tmpl w:val="06E00920"/>
    <w:lvl w:ilvl="0" w:tplc="E5A2F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5FE6"/>
    <w:multiLevelType w:val="multilevel"/>
    <w:tmpl w:val="8874517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44546A" w:themeColor="text2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44546A" w:themeColor="text2"/>
      </w:rPr>
    </w:lvl>
    <w:lvl w:ilvl="2">
      <w:start w:val="1"/>
      <w:numFmt w:val="bulle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44546A" w:themeColor="text2"/>
        <w:position w:val="-3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44546A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44546A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44546A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44546A" w:themeColor="text2"/>
      </w:rPr>
    </w:lvl>
  </w:abstractNum>
  <w:abstractNum w:abstractNumId="3" w15:restartNumberingAfterBreak="0">
    <w:nsid w:val="3AF76880"/>
    <w:multiLevelType w:val="multilevel"/>
    <w:tmpl w:val="A192FA0E"/>
    <w:styleLink w:val="Bullets"/>
    <w:lvl w:ilvl="0">
      <w:start w:val="1"/>
      <w:numFmt w:val="bullet"/>
      <w:pStyle w:val="Bullets1stindent"/>
      <w:lvlText w:val="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color w:val="44546A" w:themeColor="text2"/>
      </w:rPr>
    </w:lvl>
    <w:lvl w:ilvl="1">
      <w:start w:val="1"/>
      <w:numFmt w:val="bullet"/>
      <w:pStyle w:val="Bullets2ndinden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44546A" w:themeColor="text2"/>
      </w:rPr>
    </w:lvl>
    <w:lvl w:ilvl="2">
      <w:start w:val="1"/>
      <w:numFmt w:val="bullet"/>
      <w:pStyle w:val="Bullets3rdinden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44546A" w:themeColor="text2"/>
        <w:position w:val="-3"/>
      </w:rPr>
    </w:lvl>
    <w:lvl w:ilvl="3">
      <w:start w:val="1"/>
      <w:numFmt w:val="bullet"/>
      <w:pStyle w:val="Bullets4thinden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44546A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44546A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44546A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44546A" w:themeColor="text2"/>
      </w:rPr>
    </w:lvl>
  </w:abstractNum>
  <w:abstractNum w:abstractNumId="4" w15:restartNumberingAfterBreak="0">
    <w:nsid w:val="535F1B39"/>
    <w:multiLevelType w:val="multilevel"/>
    <w:tmpl w:val="FCDC3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44546A" w:themeColor="text2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44546A" w:themeColor="text2"/>
      </w:rPr>
    </w:lvl>
    <w:lvl w:ilvl="2">
      <w:start w:val="1"/>
      <w:numFmt w:val="bulle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44546A" w:themeColor="text2"/>
        <w:position w:val="-3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44546A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44546A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44546A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44546A" w:themeColor="text2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lvl w:ilvl="0">
        <w:start w:val="1"/>
        <w:numFmt w:val="bullet"/>
        <w:pStyle w:val="Bullets1stindent"/>
        <w:lvlText w:val=""/>
        <w:lvlJc w:val="left"/>
        <w:pPr>
          <w:tabs>
            <w:tab w:val="num" w:pos="284"/>
          </w:tabs>
          <w:ind w:left="284" w:hanging="284"/>
        </w:pPr>
        <w:rPr>
          <w:rFonts w:ascii="Wingdings 3" w:hAnsi="Wingdings 3" w:hint="default"/>
          <w:b w:val="0"/>
          <w:i w:val="0"/>
          <w:color w:val="E7E6E6" w:themeColor="background2"/>
        </w:rPr>
      </w:lvl>
    </w:lvlOverride>
    <w:lvlOverride w:ilvl="1">
      <w:lvl w:ilvl="1">
        <w:start w:val="1"/>
        <w:numFmt w:val="bullet"/>
        <w:pStyle w:val="Bullets2ndindent"/>
        <w:lvlText w:val="•"/>
        <w:lvlJc w:val="left"/>
        <w:pPr>
          <w:tabs>
            <w:tab w:val="num" w:pos="568"/>
          </w:tabs>
          <w:ind w:left="568" w:hanging="284"/>
        </w:pPr>
        <w:rPr>
          <w:rFonts w:asciiTheme="minorHAnsi" w:hAnsiTheme="minorHAnsi" w:hint="default"/>
          <w:b/>
          <w:color w:val="E7E6E6" w:themeColor="background2"/>
        </w:rPr>
      </w:lvl>
    </w:lvlOverride>
    <w:lvlOverride w:ilvl="2">
      <w:lvl w:ilvl="2">
        <w:start w:val="1"/>
        <w:numFmt w:val="bullet"/>
        <w:pStyle w:val="Bullets3rdindent"/>
        <w:lvlText w:val=""/>
        <w:lvlJc w:val="left"/>
        <w:pPr>
          <w:tabs>
            <w:tab w:val="num" w:pos="852"/>
          </w:tabs>
          <w:ind w:left="852" w:hanging="284"/>
        </w:pPr>
        <w:rPr>
          <w:rFonts w:ascii="Wingdings 2" w:hAnsi="Wingdings 2" w:hint="default"/>
          <w:color w:val="E7E6E6" w:themeColor="background2"/>
          <w:position w:val="-3"/>
        </w:rPr>
      </w:lvl>
    </w:lvlOverride>
  </w:num>
  <w:num w:numId="7">
    <w:abstractNumId w:val="3"/>
    <w:lvlOverride w:ilvl="0">
      <w:lvl w:ilvl="0">
        <w:start w:val="1"/>
        <w:numFmt w:val="bullet"/>
        <w:pStyle w:val="Bullets1stindent"/>
        <w:lvlText w:val=""/>
        <w:lvlJc w:val="left"/>
        <w:pPr>
          <w:tabs>
            <w:tab w:val="num" w:pos="426"/>
          </w:tabs>
          <w:ind w:left="426" w:hanging="284"/>
        </w:pPr>
        <w:rPr>
          <w:rFonts w:ascii="Wingdings 3" w:hAnsi="Wingdings 3" w:hint="default"/>
          <w:b w:val="0"/>
          <w:i w:val="0"/>
          <w:color w:val="44546A" w:themeColor="text2"/>
        </w:rPr>
      </w:lvl>
    </w:lvlOverride>
    <w:lvlOverride w:ilvl="1">
      <w:lvl w:ilvl="1">
        <w:start w:val="1"/>
        <w:numFmt w:val="bullet"/>
        <w:pStyle w:val="Bullets2ndindent"/>
        <w:lvlText w:val="•"/>
        <w:lvlJc w:val="left"/>
        <w:pPr>
          <w:tabs>
            <w:tab w:val="num" w:pos="568"/>
          </w:tabs>
          <w:ind w:left="568" w:hanging="284"/>
        </w:pPr>
        <w:rPr>
          <w:rFonts w:asciiTheme="minorHAnsi" w:hAnsiTheme="minorHAnsi" w:hint="default"/>
          <w:b/>
          <w:color w:val="44546A" w:themeColor="text2"/>
        </w:rPr>
      </w:lvl>
    </w:lvlOverride>
    <w:lvlOverride w:ilvl="2">
      <w:lvl w:ilvl="2">
        <w:start w:val="1"/>
        <w:numFmt w:val="bullet"/>
        <w:pStyle w:val="Bullets3rdindent"/>
        <w:lvlText w:val=""/>
        <w:lvlJc w:val="left"/>
        <w:pPr>
          <w:tabs>
            <w:tab w:val="num" w:pos="852"/>
          </w:tabs>
          <w:ind w:left="852" w:hanging="284"/>
        </w:pPr>
        <w:rPr>
          <w:rFonts w:ascii="Wingdings 2" w:hAnsi="Wingdings 2" w:hint="default"/>
          <w:color w:val="E7E6E6" w:themeColor="background2"/>
          <w:position w:val="-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AF"/>
    <w:rsid w:val="00011480"/>
    <w:rsid w:val="0003783A"/>
    <w:rsid w:val="00055CE0"/>
    <w:rsid w:val="00063B23"/>
    <w:rsid w:val="0008239A"/>
    <w:rsid w:val="00090125"/>
    <w:rsid w:val="000A5203"/>
    <w:rsid w:val="000B23A6"/>
    <w:rsid w:val="000B386B"/>
    <w:rsid w:val="000D2DF4"/>
    <w:rsid w:val="00121D66"/>
    <w:rsid w:val="0013561B"/>
    <w:rsid w:val="001375AF"/>
    <w:rsid w:val="00146E42"/>
    <w:rsid w:val="001D2FBF"/>
    <w:rsid w:val="001E2A0F"/>
    <w:rsid w:val="002C49B3"/>
    <w:rsid w:val="002E1DA2"/>
    <w:rsid w:val="002F57DB"/>
    <w:rsid w:val="00346080"/>
    <w:rsid w:val="0034661D"/>
    <w:rsid w:val="003571B6"/>
    <w:rsid w:val="00393DC0"/>
    <w:rsid w:val="003961AF"/>
    <w:rsid w:val="003D31F8"/>
    <w:rsid w:val="003E45B2"/>
    <w:rsid w:val="003F4579"/>
    <w:rsid w:val="004019D0"/>
    <w:rsid w:val="00430A9B"/>
    <w:rsid w:val="00440CE7"/>
    <w:rsid w:val="00497AB1"/>
    <w:rsid w:val="004A7698"/>
    <w:rsid w:val="004B6898"/>
    <w:rsid w:val="0052094A"/>
    <w:rsid w:val="0054726F"/>
    <w:rsid w:val="005543A0"/>
    <w:rsid w:val="00556C77"/>
    <w:rsid w:val="0056134A"/>
    <w:rsid w:val="00575370"/>
    <w:rsid w:val="00576573"/>
    <w:rsid w:val="00585E0E"/>
    <w:rsid w:val="005A0369"/>
    <w:rsid w:val="005B6E8B"/>
    <w:rsid w:val="005D5B8D"/>
    <w:rsid w:val="005E7454"/>
    <w:rsid w:val="005F2F8D"/>
    <w:rsid w:val="005F43B4"/>
    <w:rsid w:val="005F49FC"/>
    <w:rsid w:val="0061207C"/>
    <w:rsid w:val="0061322C"/>
    <w:rsid w:val="00613900"/>
    <w:rsid w:val="0065376D"/>
    <w:rsid w:val="00654F1C"/>
    <w:rsid w:val="00665556"/>
    <w:rsid w:val="00673C31"/>
    <w:rsid w:val="00690523"/>
    <w:rsid w:val="006D144E"/>
    <w:rsid w:val="006D20B5"/>
    <w:rsid w:val="006E48DA"/>
    <w:rsid w:val="00715255"/>
    <w:rsid w:val="007266C1"/>
    <w:rsid w:val="00731257"/>
    <w:rsid w:val="007501B4"/>
    <w:rsid w:val="007833E5"/>
    <w:rsid w:val="007B43A2"/>
    <w:rsid w:val="007B66EC"/>
    <w:rsid w:val="007D65F9"/>
    <w:rsid w:val="007F03B8"/>
    <w:rsid w:val="0081439E"/>
    <w:rsid w:val="008729A7"/>
    <w:rsid w:val="00875268"/>
    <w:rsid w:val="0088068E"/>
    <w:rsid w:val="00881258"/>
    <w:rsid w:val="0088481E"/>
    <w:rsid w:val="008B1B26"/>
    <w:rsid w:val="008B661D"/>
    <w:rsid w:val="008C18EB"/>
    <w:rsid w:val="008C5AE4"/>
    <w:rsid w:val="008E3D52"/>
    <w:rsid w:val="009178EF"/>
    <w:rsid w:val="00920E7E"/>
    <w:rsid w:val="00970DA1"/>
    <w:rsid w:val="00984410"/>
    <w:rsid w:val="009941D1"/>
    <w:rsid w:val="009A5108"/>
    <w:rsid w:val="009A646D"/>
    <w:rsid w:val="009B2924"/>
    <w:rsid w:val="009D1C1A"/>
    <w:rsid w:val="009E266B"/>
    <w:rsid w:val="009E2708"/>
    <w:rsid w:val="009F6F56"/>
    <w:rsid w:val="009F70CC"/>
    <w:rsid w:val="00A104FF"/>
    <w:rsid w:val="00A4587F"/>
    <w:rsid w:val="00A91745"/>
    <w:rsid w:val="00AA273B"/>
    <w:rsid w:val="00AA7E3F"/>
    <w:rsid w:val="00AF5819"/>
    <w:rsid w:val="00AF7E71"/>
    <w:rsid w:val="00B11B3A"/>
    <w:rsid w:val="00B3026E"/>
    <w:rsid w:val="00B7619D"/>
    <w:rsid w:val="00B865FB"/>
    <w:rsid w:val="00B96E17"/>
    <w:rsid w:val="00BD06AF"/>
    <w:rsid w:val="00BD24AB"/>
    <w:rsid w:val="00CE244F"/>
    <w:rsid w:val="00CF3C04"/>
    <w:rsid w:val="00CF7E08"/>
    <w:rsid w:val="00D26504"/>
    <w:rsid w:val="00D31FBD"/>
    <w:rsid w:val="00D400F1"/>
    <w:rsid w:val="00D615DE"/>
    <w:rsid w:val="00D85596"/>
    <w:rsid w:val="00D8581B"/>
    <w:rsid w:val="00DB275E"/>
    <w:rsid w:val="00DF0A16"/>
    <w:rsid w:val="00DF3A6A"/>
    <w:rsid w:val="00E02079"/>
    <w:rsid w:val="00E04BBE"/>
    <w:rsid w:val="00E2144A"/>
    <w:rsid w:val="00E274A9"/>
    <w:rsid w:val="00E34EFC"/>
    <w:rsid w:val="00E752AB"/>
    <w:rsid w:val="00E8483F"/>
    <w:rsid w:val="00E96F29"/>
    <w:rsid w:val="00EC593F"/>
    <w:rsid w:val="00EC7371"/>
    <w:rsid w:val="00ED7973"/>
    <w:rsid w:val="00EE0315"/>
    <w:rsid w:val="00F15B21"/>
    <w:rsid w:val="00F54B57"/>
    <w:rsid w:val="00F92E2F"/>
    <w:rsid w:val="00F95E7F"/>
    <w:rsid w:val="00FD5820"/>
    <w:rsid w:val="00FD607F"/>
    <w:rsid w:val="00FD7726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CA79"/>
  <w15:chartTrackingRefBased/>
  <w15:docId w15:val="{A487666B-627C-478B-8A13-5AA6B0BB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5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5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275E"/>
    <w:pPr>
      <w:ind w:left="720"/>
      <w:contextualSpacing/>
    </w:pPr>
  </w:style>
  <w:style w:type="paragraph" w:customStyle="1" w:styleId="BodyCopy">
    <w:name w:val="Body Copy"/>
    <w:qFormat/>
    <w:rsid w:val="009F70CC"/>
    <w:pPr>
      <w:spacing w:before="120" w:after="120" w:line="240" w:lineRule="atLeast"/>
    </w:pPr>
    <w:rPr>
      <w:rFonts w:cs="Times New Roman"/>
      <w:color w:val="000000" w:themeColor="text1"/>
      <w:sz w:val="20"/>
      <w:szCs w:val="20"/>
    </w:rPr>
  </w:style>
  <w:style w:type="numbering" w:customStyle="1" w:styleId="Bullets">
    <w:name w:val="Bullets"/>
    <w:basedOn w:val="NoList"/>
    <w:uiPriority w:val="99"/>
    <w:rsid w:val="009F70CC"/>
    <w:pPr>
      <w:numPr>
        <w:numId w:val="2"/>
      </w:numPr>
    </w:pPr>
  </w:style>
  <w:style w:type="paragraph" w:customStyle="1" w:styleId="Bullets1stindent">
    <w:name w:val="Bullets (1st indent)"/>
    <w:basedOn w:val="BodyCopy"/>
    <w:uiPriority w:val="3"/>
    <w:qFormat/>
    <w:rsid w:val="009F70CC"/>
    <w:pPr>
      <w:numPr>
        <w:numId w:val="2"/>
      </w:numPr>
      <w:spacing w:before="60" w:after="60"/>
    </w:pPr>
  </w:style>
  <w:style w:type="paragraph" w:customStyle="1" w:styleId="Bullets2ndindent">
    <w:name w:val="Bullets (2nd indent)"/>
    <w:basedOn w:val="BodyCopy"/>
    <w:uiPriority w:val="3"/>
    <w:qFormat/>
    <w:rsid w:val="009F70CC"/>
    <w:pPr>
      <w:numPr>
        <w:ilvl w:val="1"/>
        <w:numId w:val="2"/>
      </w:numPr>
      <w:spacing w:before="60" w:after="60"/>
    </w:pPr>
  </w:style>
  <w:style w:type="paragraph" w:customStyle="1" w:styleId="Bullets3rdindent">
    <w:name w:val="Bullets (3rd indent)"/>
    <w:basedOn w:val="BodyCopy"/>
    <w:uiPriority w:val="3"/>
    <w:qFormat/>
    <w:rsid w:val="009F70CC"/>
    <w:pPr>
      <w:numPr>
        <w:ilvl w:val="2"/>
        <w:numId w:val="2"/>
      </w:numPr>
      <w:spacing w:before="60" w:after="60"/>
    </w:pPr>
  </w:style>
  <w:style w:type="paragraph" w:customStyle="1" w:styleId="Bullets4thindent">
    <w:name w:val="Bullets (4th indent)"/>
    <w:basedOn w:val="BodyCopy"/>
    <w:uiPriority w:val="3"/>
    <w:qFormat/>
    <w:rsid w:val="009F70CC"/>
    <w:pPr>
      <w:numPr>
        <w:ilvl w:val="3"/>
        <w:numId w:val="2"/>
      </w:numPr>
      <w:spacing w:before="60" w:after="60"/>
    </w:pPr>
  </w:style>
  <w:style w:type="numbering" w:customStyle="1" w:styleId="Numberedlist">
    <w:name w:val="Numbered list"/>
    <w:basedOn w:val="NoList"/>
    <w:uiPriority w:val="99"/>
    <w:rsid w:val="009F70CC"/>
    <w:pPr>
      <w:numPr>
        <w:numId w:val="3"/>
      </w:numPr>
    </w:pPr>
  </w:style>
  <w:style w:type="paragraph" w:customStyle="1" w:styleId="Numberedlist1stindent">
    <w:name w:val="Numbered list (1st indent)"/>
    <w:basedOn w:val="Bullets1stindent"/>
    <w:uiPriority w:val="3"/>
    <w:qFormat/>
    <w:rsid w:val="009F70CC"/>
    <w:pPr>
      <w:numPr>
        <w:numId w:val="3"/>
      </w:numPr>
    </w:pPr>
  </w:style>
  <w:style w:type="paragraph" w:customStyle="1" w:styleId="Numberedlist2ndindent">
    <w:name w:val="Numbered list (2nd indent)"/>
    <w:basedOn w:val="Bullets1stindent"/>
    <w:uiPriority w:val="3"/>
    <w:qFormat/>
    <w:rsid w:val="009F70CC"/>
    <w:pPr>
      <w:numPr>
        <w:ilvl w:val="1"/>
        <w:numId w:val="3"/>
      </w:numPr>
    </w:pPr>
  </w:style>
  <w:style w:type="paragraph" w:customStyle="1" w:styleId="Numberedlist3rdindent">
    <w:name w:val="Numbered list (3rd indent)"/>
    <w:basedOn w:val="Bullets1stindent"/>
    <w:uiPriority w:val="3"/>
    <w:qFormat/>
    <w:rsid w:val="009F70CC"/>
    <w:pPr>
      <w:numPr>
        <w:ilvl w:val="2"/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A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gea.gov.au/about-us/data-management-and-data-governance" TargetMode="External"/><Relationship Id="rId13" Type="http://schemas.openxmlformats.org/officeDocument/2006/relationships/hyperlink" Target="https://www.wgea.gov.au/documents?name=&amp;media_resource=4596&amp;media_topics=All" TargetMode="External"/><Relationship Id="rId18" Type="http://schemas.openxmlformats.org/officeDocument/2006/relationships/hyperlink" Target="https://www.wgea.gov.au/contact-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otectivesecurity.gov.au/information/Pages/default.aspx" TargetMode="External"/><Relationship Id="rId12" Type="http://schemas.openxmlformats.org/officeDocument/2006/relationships/hyperlink" Target="https://www.wgea.gov.au/documents?name=&amp;media_resource=4596&amp;media_topics=All" TargetMode="External"/><Relationship Id="rId17" Type="http://schemas.openxmlformats.org/officeDocument/2006/relationships/hyperlink" Target="https://www.wgea.gov.au/public-repor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gov.au/dataset/ds-dga-4d35cd80-2538-4705-82f3-d0d18e823d98/details?q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tectivesecurity.gov.au/" TargetMode="External"/><Relationship Id="rId11" Type="http://schemas.openxmlformats.org/officeDocument/2006/relationships/hyperlink" Target="https://www.wgea.gov.au/reporting/resolving-data-anomal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wgea.gov.au/" TargetMode="External"/><Relationship Id="rId10" Type="http://schemas.openxmlformats.org/officeDocument/2006/relationships/hyperlink" Target="https://www.abs.gov.au/AUSSTATS/abs@.nsf/allprimarymainfeatures/FCC055588D3EBA19CA2584A8000E7889?opendocume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bs.gov.au/AUSSTATS/abs@.nsf/Lookup/1292.0Main+Features12006%20(Revision%202.0)?OpenDocument" TargetMode="External"/><Relationship Id="rId14" Type="http://schemas.openxmlformats.org/officeDocument/2006/relationships/hyperlink" Target="https://www.wgea.gov.au/data/competitor-analysis-benchmark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7EEB-4451-4436-B11F-B1333889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4D36DFA5.dotm</Template>
  <TotalTime>56</TotalTime>
  <Pages>4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OUANO,Edelyn</dc:creator>
  <cp:keywords/>
  <dc:description/>
  <cp:lastModifiedBy>KRIZ,Georgia</cp:lastModifiedBy>
  <cp:revision>4</cp:revision>
  <dcterms:created xsi:type="dcterms:W3CDTF">2019-11-14T22:51:00Z</dcterms:created>
  <dcterms:modified xsi:type="dcterms:W3CDTF">2019-11-15T00:42:00Z</dcterms:modified>
</cp:coreProperties>
</file>